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68084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4A00E7" w:rsidRDefault="004A00E7">
      <w:pPr>
        <w:pStyle w:val="1"/>
        <w:rPr>
          <w:rFonts w:ascii="Arial" w:hAnsi="Arial"/>
        </w:rPr>
      </w:pPr>
      <w:r>
        <w:rPr>
          <w:rFonts w:ascii="Arial" w:hAnsi="Arial"/>
        </w:rPr>
        <w:t>П Р Е З И Д И У М</w:t>
      </w:r>
    </w:p>
    <w:p w:rsidR="004A00E7" w:rsidRDefault="004A00E7">
      <w:pPr>
        <w:jc w:val="center"/>
      </w:pPr>
    </w:p>
    <w:p w:rsidR="004A00E7" w:rsidRDefault="004A00E7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4A00E7" w:rsidRDefault="004A00E7"/>
    <w:p w:rsidR="004A00E7" w:rsidRPr="00F97CF6" w:rsidRDefault="0055168C">
      <w:pPr>
        <w:jc w:val="both"/>
      </w:pPr>
      <w:r w:rsidRPr="00F97CF6">
        <w:t>г. Уфа</w:t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Pr="00F97CF6">
        <w:tab/>
      </w:r>
      <w:r w:rsidR="00616D86" w:rsidRPr="00F97CF6">
        <w:t>1</w:t>
      </w:r>
      <w:r w:rsidR="00F00029" w:rsidRPr="00F97CF6">
        <w:t>5 сентября</w:t>
      </w:r>
      <w:r w:rsidR="004A00E7" w:rsidRPr="00F97CF6">
        <w:t xml:space="preserve"> 20</w:t>
      </w:r>
      <w:r w:rsidR="008053D9" w:rsidRPr="00F97CF6">
        <w:t>1</w:t>
      </w:r>
      <w:r w:rsidR="00C60745" w:rsidRPr="00F97CF6">
        <w:t>5</w:t>
      </w:r>
      <w:r w:rsidR="004A00E7" w:rsidRPr="00F97CF6">
        <w:t xml:space="preserve">года </w:t>
      </w:r>
    </w:p>
    <w:p w:rsidR="004A00E7" w:rsidRPr="00F97CF6" w:rsidRDefault="004A00E7">
      <w:pPr>
        <w:jc w:val="both"/>
      </w:pPr>
    </w:p>
    <w:p w:rsidR="00CB49CC" w:rsidRPr="00F97CF6" w:rsidRDefault="004A00E7">
      <w:pPr>
        <w:jc w:val="both"/>
      </w:pPr>
      <w:r w:rsidRPr="00F97CF6">
        <w:t>«</w:t>
      </w:r>
      <w:r w:rsidR="00BF4474" w:rsidRPr="00F97CF6">
        <w:t>Об уровне оплаты труда на предприятиях</w:t>
      </w:r>
      <w:r w:rsidR="00CB49CC" w:rsidRPr="00F97CF6">
        <w:t xml:space="preserve"> отрасли </w:t>
      </w:r>
    </w:p>
    <w:p w:rsidR="008053D9" w:rsidRPr="00F97CF6" w:rsidRDefault="00CB49CC">
      <w:pPr>
        <w:jc w:val="both"/>
      </w:pPr>
      <w:r w:rsidRPr="00F97CF6">
        <w:t xml:space="preserve">по </w:t>
      </w:r>
      <w:r w:rsidR="00680847" w:rsidRPr="00F97CF6">
        <w:t xml:space="preserve">итогам работы </w:t>
      </w:r>
      <w:r w:rsidR="00F00029" w:rsidRPr="00F97CF6">
        <w:t xml:space="preserve">в первом </w:t>
      </w:r>
      <w:r w:rsidR="00311EC1">
        <w:t>полугодии</w:t>
      </w:r>
      <w:r w:rsidR="00F00029" w:rsidRPr="00F97CF6">
        <w:t xml:space="preserve"> 2015</w:t>
      </w:r>
      <w:r w:rsidR="0055168C" w:rsidRPr="00F97CF6">
        <w:t xml:space="preserve"> </w:t>
      </w:r>
      <w:r w:rsidR="00BF4474" w:rsidRPr="00F97CF6">
        <w:t>год</w:t>
      </w:r>
      <w:r w:rsidR="00F00029" w:rsidRPr="00F97CF6">
        <w:t>а</w:t>
      </w:r>
      <w:r w:rsidR="00BF4474" w:rsidRPr="00F97CF6">
        <w:t>»</w:t>
      </w:r>
    </w:p>
    <w:p w:rsidR="00955100" w:rsidRPr="00F97CF6" w:rsidRDefault="00955100">
      <w:pPr>
        <w:jc w:val="both"/>
      </w:pPr>
    </w:p>
    <w:p w:rsidR="00F00029" w:rsidRPr="00F97CF6" w:rsidRDefault="00F00029" w:rsidP="00F00029">
      <w:pPr>
        <w:jc w:val="both"/>
      </w:pPr>
      <w:r w:rsidRPr="00F97CF6">
        <w:tab/>
        <w:t>Заслушав и обсудив информацию председателя Профсоюза машиностроителей Республики Башкортостан, президиум республиканского комитета Профсоюза отмечает, что основная масса предприятий машиностроительной отрасли республики в первом полугодии 2015 года в условиях разразившегося финансово-эко</w:t>
      </w:r>
      <w:r w:rsidR="00932416">
        <w:t>номического кризиса работала не</w:t>
      </w:r>
      <w:r w:rsidRPr="00F97CF6">
        <w:t>стабильно. Произошло значительное снижение объемов производства к уровню 2014 года на следующих предприятиях отрасли:</w:t>
      </w:r>
    </w:p>
    <w:p w:rsidR="001400D9" w:rsidRPr="00F97CF6" w:rsidRDefault="001400D9" w:rsidP="00311EC1">
      <w:pPr>
        <w:jc w:val="both"/>
      </w:pPr>
      <w:r w:rsidRPr="00F97CF6">
        <w:t>ООО «ПК «Автоприбор» - 25,7%,</w:t>
      </w:r>
      <w:r w:rsidR="00DB2D06" w:rsidRPr="00F97CF6">
        <w:t xml:space="preserve"> </w:t>
      </w:r>
      <w:r w:rsidRPr="00F97CF6">
        <w:t>ОАО «Салаватнефтемаш» - 44,4 %,</w:t>
      </w:r>
      <w:r w:rsidR="00DB2D06" w:rsidRPr="00F97CF6">
        <w:t xml:space="preserve"> </w:t>
      </w:r>
      <w:r w:rsidRPr="00F97CF6">
        <w:t>ОАО «ТЗАБВ» -51,9%</w:t>
      </w:r>
      <w:r w:rsidR="00DB2D06" w:rsidRPr="00F97CF6">
        <w:t xml:space="preserve">, </w:t>
      </w:r>
      <w:r w:rsidRPr="00F97CF6">
        <w:t>ОАО «Иглинский весовой завод» - 66,0%,</w:t>
      </w:r>
      <w:r w:rsidR="00DB2D06" w:rsidRPr="00F97CF6">
        <w:t xml:space="preserve"> </w:t>
      </w:r>
      <w:r w:rsidRPr="00F97CF6">
        <w:t>ОАО «НЕФАЗ» - 75, 3%,</w:t>
      </w:r>
      <w:r w:rsidR="00DB2D06" w:rsidRPr="00F97CF6">
        <w:t xml:space="preserve"> </w:t>
      </w:r>
      <w:r w:rsidRPr="00F97CF6">
        <w:t>ОАО «УЗГВ» - 78,7%,</w:t>
      </w:r>
      <w:r w:rsidR="00DB2D06" w:rsidRPr="00F97CF6">
        <w:t xml:space="preserve"> </w:t>
      </w:r>
      <w:r w:rsidRPr="00F97CF6">
        <w:t>ЗАО «БЗРП» - 85,7%,</w:t>
      </w:r>
      <w:r w:rsidR="00DB2D06" w:rsidRPr="00F97CF6">
        <w:t xml:space="preserve"> </w:t>
      </w:r>
      <w:r w:rsidRPr="00F97CF6">
        <w:t>ОАО «Уралтехнострой-Туй</w:t>
      </w:r>
      <w:r w:rsidR="0001211A" w:rsidRPr="00F97CF6">
        <w:t>м</w:t>
      </w:r>
      <w:r w:rsidRPr="00F97CF6">
        <w:t>азыхиммаш»  - 89,6%,</w:t>
      </w:r>
      <w:r w:rsidR="00DB2D06" w:rsidRPr="00F97CF6">
        <w:t xml:space="preserve"> </w:t>
      </w:r>
      <w:r w:rsidRPr="00F97CF6">
        <w:t>ОАО «Мелеузовский завод ЖБК» - 90,4%,</w:t>
      </w:r>
      <w:r w:rsidR="00311EC1">
        <w:t xml:space="preserve"> </w:t>
      </w:r>
      <w:r w:rsidRPr="00F97CF6">
        <w:t>ООО «Геоспе</w:t>
      </w:r>
      <w:r w:rsidR="00DB2D06" w:rsidRPr="00F97CF6">
        <w:t>йс Технолоджис Евразия» - 95,5%.</w:t>
      </w:r>
    </w:p>
    <w:p w:rsidR="004F2B88" w:rsidRPr="00F97CF6" w:rsidRDefault="004F2B88" w:rsidP="00311EC1">
      <w:pPr>
        <w:jc w:val="both"/>
      </w:pPr>
      <w:r w:rsidRPr="00F97CF6">
        <w:tab/>
        <w:t>Ряд предприятий сохранили показатели выпуска продукции на уровне прошлого года:</w:t>
      </w:r>
      <w:r w:rsidR="00311EC1">
        <w:t xml:space="preserve"> </w:t>
      </w:r>
      <w:r w:rsidRPr="00F97CF6">
        <w:t>ОАО «БелЗАН» - 100,7%,</w:t>
      </w:r>
      <w:r w:rsidR="00DB2D06" w:rsidRPr="00F97CF6">
        <w:t xml:space="preserve"> </w:t>
      </w:r>
      <w:r w:rsidRPr="00F97CF6">
        <w:t>ООО НПО «Станкостроение» - 100,0%,</w:t>
      </w:r>
      <w:r w:rsidR="00DB2D06" w:rsidRPr="00F97CF6">
        <w:t xml:space="preserve"> </w:t>
      </w:r>
      <w:r w:rsidRPr="00F97CF6">
        <w:t>ООО «НефтехиммашМаяк»</w:t>
      </w:r>
      <w:r w:rsidR="00DB2D06" w:rsidRPr="00F97CF6">
        <w:t xml:space="preserve"> - 100,0%.</w:t>
      </w:r>
    </w:p>
    <w:p w:rsidR="000C22B4" w:rsidRPr="00F97CF6" w:rsidRDefault="001400D9" w:rsidP="00311EC1">
      <w:pPr>
        <w:jc w:val="both"/>
      </w:pPr>
      <w:r w:rsidRPr="00F97CF6">
        <w:tab/>
      </w:r>
      <w:r w:rsidR="000C22B4" w:rsidRPr="00F97CF6">
        <w:t>П</w:t>
      </w:r>
      <w:r w:rsidR="00F00029" w:rsidRPr="00F97CF6">
        <w:t xml:space="preserve">рирост </w:t>
      </w:r>
      <w:r w:rsidR="000C22B4" w:rsidRPr="00F97CF6">
        <w:t xml:space="preserve">объемов производства </w:t>
      </w:r>
      <w:r w:rsidR="00F00029" w:rsidRPr="00F97CF6">
        <w:t>по сравнению с тем же периодом прошлого г</w:t>
      </w:r>
      <w:r w:rsidRPr="00F97CF6">
        <w:t xml:space="preserve">ода дали </w:t>
      </w:r>
      <w:r w:rsidR="000C22B4" w:rsidRPr="00F97CF6">
        <w:t xml:space="preserve">всего </w:t>
      </w:r>
      <w:r w:rsidR="00F97CF6" w:rsidRPr="00F97CF6">
        <w:t>6</w:t>
      </w:r>
      <w:r w:rsidR="000C22B4" w:rsidRPr="00F97CF6">
        <w:t xml:space="preserve"> </w:t>
      </w:r>
      <w:r w:rsidRPr="00F97CF6">
        <w:t>предприяти</w:t>
      </w:r>
      <w:r w:rsidR="000C22B4" w:rsidRPr="00F97CF6">
        <w:t>й</w:t>
      </w:r>
      <w:r w:rsidRPr="00F97CF6">
        <w:t>:</w:t>
      </w:r>
      <w:r w:rsidR="00DB2D06" w:rsidRPr="00F97CF6">
        <w:t xml:space="preserve"> </w:t>
      </w:r>
      <w:r w:rsidR="000C22B4" w:rsidRPr="00F97CF6">
        <w:t>ООО «СалаватГидравлика» -132,5%,</w:t>
      </w:r>
      <w:r w:rsidR="00DB2D06" w:rsidRPr="00F97CF6">
        <w:t xml:space="preserve"> </w:t>
      </w:r>
      <w:r w:rsidR="000C22B4" w:rsidRPr="00F97CF6">
        <w:t>ОАО «Мелеузовский завод металлоконструкций» -129,6%,</w:t>
      </w:r>
      <w:r w:rsidR="00DB2D06" w:rsidRPr="00F97CF6">
        <w:t xml:space="preserve"> </w:t>
      </w:r>
      <w:r w:rsidR="000C22B4" w:rsidRPr="00F97CF6">
        <w:t>ГУП «БашНИИНефтемаш» 126,0%</w:t>
      </w:r>
      <w:r w:rsidR="00DB2D06" w:rsidRPr="00F97CF6">
        <w:t xml:space="preserve">, </w:t>
      </w:r>
      <w:r w:rsidR="000C22B4" w:rsidRPr="00F97CF6">
        <w:t>АО МК «Витязь» - 123,6%</w:t>
      </w:r>
      <w:r w:rsidR="00F97CF6" w:rsidRPr="00F97CF6">
        <w:t>, ФБУ ЦСМ</w:t>
      </w:r>
      <w:r w:rsidR="006D1BC4">
        <w:t xml:space="preserve"> </w:t>
      </w:r>
      <w:r w:rsidR="00F97CF6" w:rsidRPr="00F97CF6">
        <w:t xml:space="preserve"> РБ – 109,0%, </w:t>
      </w:r>
      <w:r w:rsidR="00311EC1">
        <w:t>ЗАО «ИНМАН» -105,0%.</w:t>
      </w:r>
    </w:p>
    <w:p w:rsidR="00DB2D06" w:rsidRPr="00F97CF6" w:rsidRDefault="00DB2D06" w:rsidP="00311EC1">
      <w:pPr>
        <w:jc w:val="both"/>
      </w:pPr>
      <w:r w:rsidRPr="00F97CF6">
        <w:tab/>
      </w:r>
      <w:r w:rsidR="00F00029" w:rsidRPr="00F97CF6">
        <w:t xml:space="preserve">Согласно мониторингу, который проводится республиканским комитетом </w:t>
      </w:r>
      <w:r w:rsidR="00CC0265">
        <w:t>п</w:t>
      </w:r>
      <w:r w:rsidR="00F00029" w:rsidRPr="00F97CF6">
        <w:t xml:space="preserve">рофсоюза с 2008 года, динамика изменения уровня заработной платы работников </w:t>
      </w:r>
      <w:r w:rsidRPr="00F97CF6">
        <w:t xml:space="preserve">машиностроительных </w:t>
      </w:r>
      <w:r w:rsidR="00F00029" w:rsidRPr="00F97CF6">
        <w:t>предприятий выглядит следующим образом:</w:t>
      </w:r>
    </w:p>
    <w:p w:rsidR="00DB2D06" w:rsidRPr="00F97CF6" w:rsidRDefault="00DB2D06" w:rsidP="00DB2D06">
      <w:r w:rsidRPr="00F97CF6">
        <w:rPr>
          <w:noProof/>
        </w:rPr>
        <w:drawing>
          <wp:inline distT="0" distB="0" distL="0" distR="0">
            <wp:extent cx="5800725" cy="3396343"/>
            <wp:effectExtent l="57150" t="0" r="28575" b="3265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05E9" w:rsidRPr="00F97CF6" w:rsidRDefault="006005E9" w:rsidP="001400D9">
      <w:r w:rsidRPr="00F97CF6">
        <w:lastRenderedPageBreak/>
        <w:tab/>
        <w:t>Средняя заработная плата в Республике Башкортостан за январь-июнь 2015 года составила 24983 рубля, рост к декабрю 2014 года – 101%.</w:t>
      </w:r>
    </w:p>
    <w:p w:rsidR="006005E9" w:rsidRPr="00F97CF6" w:rsidRDefault="0080582F" w:rsidP="00F00029">
      <w:pPr>
        <w:jc w:val="both"/>
      </w:pPr>
      <w:r w:rsidRPr="00F97CF6">
        <w:t xml:space="preserve"> </w:t>
      </w:r>
      <w:r w:rsidRPr="00F97CF6">
        <w:tab/>
      </w:r>
      <w:r w:rsidR="00E95118" w:rsidRPr="00F97CF6">
        <w:t>Согласно мониторингу, проводимому республиканским комитетом профсоюза, с</w:t>
      </w:r>
      <w:r w:rsidR="006B2692" w:rsidRPr="00F97CF6">
        <w:t xml:space="preserve">редняя </w:t>
      </w:r>
      <w:r w:rsidR="00E95118" w:rsidRPr="00F97CF6">
        <w:t>з</w:t>
      </w:r>
      <w:r w:rsidR="006B2692" w:rsidRPr="00F97CF6">
        <w:t>аработная плата на предприятиях машиностроения за 6 месяцев 2015 года сложилась на уровне 22600 рублей, что составляет 98% к уровню 2014 года.</w:t>
      </w:r>
    </w:p>
    <w:p w:rsidR="006005E9" w:rsidRPr="00F97CF6" w:rsidRDefault="006005E9" w:rsidP="00CC0265">
      <w:pPr>
        <w:jc w:val="both"/>
      </w:pPr>
      <w:r w:rsidRPr="00F97CF6">
        <w:tab/>
        <w:t xml:space="preserve">Учитывая, что индекс потребительских цен июля 2015 года к декабрю 2014 года составил 108,2%, реальная заработная плата во всех отраслях экономики значительно упала и </w:t>
      </w:r>
      <w:r w:rsidR="00CF2085" w:rsidRPr="00F97CF6">
        <w:t xml:space="preserve">в среднем </w:t>
      </w:r>
      <w:r w:rsidRPr="00F97CF6">
        <w:t>составляет 9</w:t>
      </w:r>
      <w:r w:rsidR="00CF2085" w:rsidRPr="00F97CF6">
        <w:t>1</w:t>
      </w:r>
      <w:r w:rsidRPr="00F97CF6">
        <w:t xml:space="preserve">% к </w:t>
      </w:r>
      <w:r w:rsidR="00CF2085" w:rsidRPr="00F97CF6">
        <w:t>у</w:t>
      </w:r>
      <w:r w:rsidRPr="00F97CF6">
        <w:t>ровню прошлого года.</w:t>
      </w:r>
    </w:p>
    <w:p w:rsidR="006005E9" w:rsidRPr="00F97CF6" w:rsidRDefault="006B2692" w:rsidP="00CC0265">
      <w:pPr>
        <w:jc w:val="both"/>
      </w:pPr>
      <w:r w:rsidRPr="00F97CF6">
        <w:tab/>
      </w:r>
      <w:r w:rsidR="00F00029" w:rsidRPr="00F97CF6">
        <w:t>На 1 июля 201</w:t>
      </w:r>
      <w:r w:rsidR="0080582F" w:rsidRPr="00F97CF6">
        <w:t>5</w:t>
      </w:r>
      <w:r w:rsidR="00F00029" w:rsidRPr="00F97CF6">
        <w:t xml:space="preserve"> года только в </w:t>
      </w:r>
      <w:r w:rsidR="00CF2085" w:rsidRPr="00F97CF6">
        <w:t>7</w:t>
      </w:r>
      <w:r w:rsidR="006005E9" w:rsidRPr="00F97CF6">
        <w:t xml:space="preserve"> </w:t>
      </w:r>
      <w:r w:rsidR="00F00029" w:rsidRPr="00F97CF6">
        <w:t xml:space="preserve">машиностроительных предприятиях и организациях </w:t>
      </w:r>
      <w:r w:rsidR="006005E9" w:rsidRPr="00F97CF6">
        <w:t>достигнут рост</w:t>
      </w:r>
      <w:r w:rsidR="00F00029" w:rsidRPr="00F97CF6">
        <w:t xml:space="preserve"> средней заработной платы</w:t>
      </w:r>
      <w:r w:rsidR="00CF2085" w:rsidRPr="00F97CF6">
        <w:t xml:space="preserve"> сопоставимый с уровнем инфляции к соответствующему периоду 2014 года</w:t>
      </w:r>
      <w:r w:rsidR="006005E9" w:rsidRPr="00F97CF6">
        <w:t>:</w:t>
      </w:r>
      <w:r w:rsidR="00CC0265">
        <w:t xml:space="preserve"> </w:t>
      </w:r>
      <w:r w:rsidR="00CF2085" w:rsidRPr="00F97CF6">
        <w:t>ОАО «БелЗАН» - 112,0%,</w:t>
      </w:r>
      <w:r w:rsidR="00CC0265">
        <w:t xml:space="preserve"> </w:t>
      </w:r>
      <w:r w:rsidR="00CF2085" w:rsidRPr="00F97CF6">
        <w:t>ОАО «НЕФАЗ» - 112,5%,</w:t>
      </w:r>
      <w:r w:rsidR="00CC0265">
        <w:t xml:space="preserve"> </w:t>
      </w:r>
      <w:r w:rsidR="00CF2085" w:rsidRPr="00F97CF6">
        <w:t>ООО «СалаватГидравлика» -122,6%,</w:t>
      </w:r>
      <w:r w:rsidR="00CC0265">
        <w:t xml:space="preserve"> </w:t>
      </w:r>
      <w:r w:rsidR="00CF2085" w:rsidRPr="00F97CF6">
        <w:t>АО МК «Витязь» - 125,3%</w:t>
      </w:r>
      <w:r w:rsidR="00CC0265">
        <w:t xml:space="preserve">, </w:t>
      </w:r>
      <w:r w:rsidR="00CF2085" w:rsidRPr="00F97CF6">
        <w:tab/>
        <w:t>ЗАО «ИНМАН» -110,0%,</w:t>
      </w:r>
      <w:r w:rsidR="00CC0265">
        <w:t xml:space="preserve"> </w:t>
      </w:r>
      <w:r w:rsidR="00CF2085" w:rsidRPr="00F97CF6">
        <w:t>ОАО «Иглинский весовой завод» 117,6%,</w:t>
      </w:r>
      <w:r w:rsidR="00CC0265">
        <w:t xml:space="preserve"> </w:t>
      </w:r>
      <w:r w:rsidR="00CF2085" w:rsidRPr="00F97CF6">
        <w:t>ОАО «УЗГВ» - 108,1%.</w:t>
      </w:r>
    </w:p>
    <w:p w:rsidR="003316C8" w:rsidRPr="00F97CF6" w:rsidRDefault="00CF2085" w:rsidP="00CC0265">
      <w:pPr>
        <w:jc w:val="both"/>
      </w:pPr>
      <w:r w:rsidRPr="00F97CF6">
        <w:tab/>
        <w:t xml:space="preserve">На ряде предприятий заработная плата сохранилась </w:t>
      </w:r>
      <w:r w:rsidR="003316C8" w:rsidRPr="00F97CF6">
        <w:t xml:space="preserve">близко к </w:t>
      </w:r>
      <w:r w:rsidRPr="00F97CF6">
        <w:t>уровн</w:t>
      </w:r>
      <w:r w:rsidR="003316C8" w:rsidRPr="00F97CF6">
        <w:t>ю</w:t>
      </w:r>
      <w:r w:rsidRPr="00F97CF6">
        <w:t xml:space="preserve"> прошлого года – ООО НПО «Станкостроение» - 101,7%, </w:t>
      </w:r>
      <w:r w:rsidR="00F97CF6" w:rsidRPr="00F97CF6">
        <w:t xml:space="preserve">ФБУ ЦСМ РБ – 100%, </w:t>
      </w:r>
      <w:r w:rsidR="003316C8" w:rsidRPr="00F97CF6">
        <w:t>ОАО «Уралтехнострой-Туй</w:t>
      </w:r>
      <w:r w:rsidR="007E1EA2" w:rsidRPr="00F97CF6">
        <w:t>м</w:t>
      </w:r>
      <w:r w:rsidR="003316C8" w:rsidRPr="00F97CF6">
        <w:t xml:space="preserve">азыхиммаш»  - 99,9%, ЗАО «БЗРП» - 99,0%, ОАО «Мелеузовский завод металлоконструкций» -104,9%, ООО «Геоспейс Технолоджис Евразия» - 98,8%, </w:t>
      </w:r>
    </w:p>
    <w:p w:rsidR="003316C8" w:rsidRPr="00F97CF6" w:rsidRDefault="007E1EA2" w:rsidP="00CC0265">
      <w:pPr>
        <w:jc w:val="both"/>
      </w:pPr>
      <w:r w:rsidRPr="00F97CF6">
        <w:tab/>
      </w:r>
      <w:r w:rsidR="00AE65CF" w:rsidRPr="00F97CF6">
        <w:t xml:space="preserve">Падение объемов производства и продаж привело к недопустимому снижению уровня заработной </w:t>
      </w:r>
      <w:r w:rsidR="009738A7" w:rsidRPr="00F97CF6">
        <w:t xml:space="preserve">платы </w:t>
      </w:r>
      <w:r w:rsidR="00AE65CF" w:rsidRPr="00F97CF6">
        <w:t>в перво</w:t>
      </w:r>
      <w:r w:rsidR="009738A7" w:rsidRPr="00F97CF6">
        <w:t>м</w:t>
      </w:r>
      <w:r w:rsidR="00AE65CF" w:rsidRPr="00F97CF6">
        <w:t xml:space="preserve"> полугоди</w:t>
      </w:r>
      <w:r w:rsidR="009738A7" w:rsidRPr="00F97CF6">
        <w:t xml:space="preserve">и </w:t>
      </w:r>
      <w:r w:rsidR="00AE65CF" w:rsidRPr="00F97CF6">
        <w:t xml:space="preserve">на </w:t>
      </w:r>
      <w:r w:rsidR="009738A7" w:rsidRPr="00F97CF6">
        <w:t>таких предприятиях как:</w:t>
      </w:r>
    </w:p>
    <w:p w:rsidR="009738A7" w:rsidRPr="00F97CF6" w:rsidRDefault="009738A7" w:rsidP="00CC0265">
      <w:pPr>
        <w:jc w:val="both"/>
      </w:pPr>
      <w:r w:rsidRPr="00F97CF6">
        <w:t>ООО «ПК «Автоприбор» - 92,0%,</w:t>
      </w:r>
      <w:r w:rsidR="00311EC1">
        <w:t xml:space="preserve"> </w:t>
      </w:r>
      <w:r w:rsidRPr="00F97CF6">
        <w:t>ОАО «ТЗАБВ» -85,0 %,</w:t>
      </w:r>
      <w:r w:rsidR="00311EC1">
        <w:t xml:space="preserve"> </w:t>
      </w:r>
      <w:r w:rsidRPr="00F97CF6">
        <w:t>ОАО «Салаватнефтемаш» - 81,0%,</w:t>
      </w:r>
      <w:r w:rsidR="00311EC1">
        <w:t xml:space="preserve"> ООО «НефтехиммашМаяк» - 75,0%.</w:t>
      </w:r>
    </w:p>
    <w:p w:rsidR="004C537F" w:rsidRPr="00F97CF6" w:rsidRDefault="006005E9" w:rsidP="00F00029">
      <w:pPr>
        <w:jc w:val="both"/>
      </w:pPr>
      <w:r w:rsidRPr="00F97CF6">
        <w:tab/>
      </w:r>
      <w:r w:rsidR="00F00029" w:rsidRPr="00F97CF6">
        <w:t>Постановление</w:t>
      </w:r>
      <w:r w:rsidR="004C537F" w:rsidRPr="00F97CF6">
        <w:t xml:space="preserve">м </w:t>
      </w:r>
      <w:r w:rsidR="00F00029" w:rsidRPr="00F97CF6">
        <w:t xml:space="preserve">Правительства Республики Башкортостан № </w:t>
      </w:r>
      <w:r w:rsidR="004C537F" w:rsidRPr="00F97CF6">
        <w:t>570</w:t>
      </w:r>
      <w:r w:rsidR="00F00029" w:rsidRPr="00F97CF6">
        <w:t xml:space="preserve"> от </w:t>
      </w:r>
      <w:r w:rsidR="004C537F" w:rsidRPr="00F97CF6">
        <w:t>11</w:t>
      </w:r>
      <w:r w:rsidR="00F00029" w:rsidRPr="00F97CF6">
        <w:t xml:space="preserve"> </w:t>
      </w:r>
      <w:r w:rsidR="004C537F" w:rsidRPr="00F97CF6">
        <w:t>декабря</w:t>
      </w:r>
      <w:r w:rsidR="00F00029" w:rsidRPr="00F97CF6">
        <w:t xml:space="preserve"> 201</w:t>
      </w:r>
      <w:r w:rsidR="004C537F" w:rsidRPr="00F97CF6">
        <w:t xml:space="preserve">4 </w:t>
      </w:r>
      <w:r w:rsidR="00F00029" w:rsidRPr="00F97CF6">
        <w:t>года «О повышени</w:t>
      </w:r>
      <w:r w:rsidR="004C537F" w:rsidRPr="00F97CF6">
        <w:t>и оплаты труда в основных отраслях экономики и социальной сфере Республики Башкортостан»</w:t>
      </w:r>
      <w:r w:rsidR="00F00029" w:rsidRPr="00F97CF6">
        <w:t xml:space="preserve"> </w:t>
      </w:r>
      <w:r w:rsidR="004C537F" w:rsidRPr="00F97CF6">
        <w:t>утвержден План мероприятий по повышению уровня заработной платы работников организаций Республики Башкортостан на 2014-2017 годы.</w:t>
      </w:r>
    </w:p>
    <w:p w:rsidR="004C537F" w:rsidRPr="00F97CF6" w:rsidRDefault="004C537F" w:rsidP="00F00029">
      <w:pPr>
        <w:jc w:val="both"/>
      </w:pPr>
      <w:r w:rsidRPr="00F97CF6">
        <w:t>Данным документом предусмотрены 4 основных мероприятия, ответственность за выполнение которых наравне с министерствами и работодателями, возложена на профсоюзы.</w:t>
      </w:r>
    </w:p>
    <w:p w:rsidR="004C537F" w:rsidRPr="00F97CF6" w:rsidRDefault="002B02F2" w:rsidP="00F00029">
      <w:pPr>
        <w:jc w:val="both"/>
      </w:pPr>
      <w:r w:rsidRPr="00F97CF6">
        <w:tab/>
      </w:r>
      <w:r w:rsidR="004C537F" w:rsidRPr="00F97CF6">
        <w:t xml:space="preserve">Во-первых, предусматривается индексация заработной платы работников </w:t>
      </w:r>
      <w:r w:rsidRPr="00F97CF6">
        <w:t>организаций реального сектора экономики 1 раз в полугодие с ожидаемым результатом по годам: в 2014году – на 6,9%; в 2015 году – на 7,2%; в 2016 году – на 7,5%, в 2017 году – на 9,3%.</w:t>
      </w:r>
    </w:p>
    <w:p w:rsidR="002B02F2" w:rsidRPr="00F97CF6" w:rsidRDefault="002B02F2" w:rsidP="00F00029">
      <w:pPr>
        <w:jc w:val="both"/>
      </w:pPr>
      <w:r w:rsidRPr="00F97CF6">
        <w:tab/>
        <w:t>Во-вторых, предусматривается установление межотраслевых соотношений и размеров тарифных ставок 1 разряда (окладов) рабочих основных профессий ежеквартально.</w:t>
      </w:r>
    </w:p>
    <w:p w:rsidR="002B02F2" w:rsidRPr="00F97CF6" w:rsidRDefault="002B02F2" w:rsidP="00F00029">
      <w:pPr>
        <w:jc w:val="both"/>
      </w:pPr>
      <w:r w:rsidRPr="00F97CF6">
        <w:tab/>
        <w:t xml:space="preserve">В-третьих, </w:t>
      </w:r>
      <w:r w:rsidR="00985E6C" w:rsidRPr="00F97CF6">
        <w:t>обеспечение доли тарифной части в размере не менее 50%.</w:t>
      </w:r>
    </w:p>
    <w:p w:rsidR="00985E6C" w:rsidRPr="00F97CF6" w:rsidRDefault="00985E6C" w:rsidP="00F00029">
      <w:pPr>
        <w:jc w:val="both"/>
      </w:pPr>
      <w:r w:rsidRPr="00F97CF6">
        <w:tab/>
        <w:t xml:space="preserve">В-четвертых, включение в коллективные договоры обязательств по индексации заработной платы, обеспечение месячной заработной платы работников, отработавших за этот период норму рабочего времени и выполнившим норму труда, в размере не ниже величины прожиточного минимума трудоспособного населения; обеспечение уровня 1:6 соотношения размера оплаты труда 10% работников с наиболее </w:t>
      </w:r>
      <w:r w:rsidR="005969D4" w:rsidRPr="00F97CF6">
        <w:t>низкой заработной платой и 10% с наиболее высокой заработной платой.</w:t>
      </w:r>
    </w:p>
    <w:p w:rsidR="005969D4" w:rsidRPr="00F97CF6" w:rsidRDefault="005969D4" w:rsidP="00F00029">
      <w:pPr>
        <w:jc w:val="both"/>
      </w:pPr>
      <w:r w:rsidRPr="00F97CF6">
        <w:tab/>
        <w:t>Данный документ подписан Первым заместителем Премьер-министра Правительства РБ  Р.Х. Мардановым, дублирует положения Республиканского и Отраслевого Соглашений и может являться дополнительным аргументом при проведении переговоров с работодателем о повышении и индексации заработной платы.</w:t>
      </w:r>
    </w:p>
    <w:p w:rsidR="00550A2F" w:rsidRPr="00F97CF6" w:rsidRDefault="00550A2F" w:rsidP="00F00029">
      <w:pPr>
        <w:jc w:val="both"/>
      </w:pPr>
      <w:r w:rsidRPr="00F97CF6">
        <w:tab/>
        <w:t xml:space="preserve">По представленным данным (Форма 1Э за 6 месяцев 2015года) на </w:t>
      </w:r>
      <w:r w:rsidR="00267B64" w:rsidRPr="00F97CF6">
        <w:t xml:space="preserve">всех </w:t>
      </w:r>
      <w:r w:rsidRPr="00F97CF6">
        <w:t>предприятиях</w:t>
      </w:r>
      <w:r w:rsidR="00267B64" w:rsidRPr="00F97CF6">
        <w:t>,</w:t>
      </w:r>
      <w:r w:rsidRPr="00F97CF6">
        <w:t xml:space="preserve"> </w:t>
      </w:r>
      <w:r w:rsidR="00267B64" w:rsidRPr="00F97CF6">
        <w:t xml:space="preserve">за исключением ООО «ПК «Автоприбор» и ОАО «ТЗАБВ», </w:t>
      </w:r>
      <w:r w:rsidRPr="00F97CF6">
        <w:t>нет работников, получающих заработную плату ниже величины прожиточного минимума трудоспособного населения в Респу</w:t>
      </w:r>
      <w:r w:rsidR="00267B64" w:rsidRPr="00F97CF6">
        <w:t xml:space="preserve">блике Башкортостан (9092 рубля). </w:t>
      </w:r>
    </w:p>
    <w:p w:rsidR="0001211A" w:rsidRPr="00F97CF6" w:rsidRDefault="00550A2F" w:rsidP="0001211A">
      <w:pPr>
        <w:jc w:val="both"/>
      </w:pPr>
      <w:r w:rsidRPr="00F97CF6">
        <w:tab/>
      </w:r>
      <w:r w:rsidR="00E95118" w:rsidRPr="00F97CF6">
        <w:t xml:space="preserve">Вопросы </w:t>
      </w:r>
      <w:r w:rsidRPr="00F97CF6">
        <w:t xml:space="preserve">оплаты труда </w:t>
      </w:r>
      <w:r w:rsidR="00E95118" w:rsidRPr="00F97CF6">
        <w:t xml:space="preserve">включены в планы работы профкомов и </w:t>
      </w:r>
      <w:r w:rsidRPr="00F97CF6">
        <w:t>регулярно рассматриваются на заседан</w:t>
      </w:r>
      <w:r w:rsidR="00E95118" w:rsidRPr="00F97CF6">
        <w:t>и</w:t>
      </w:r>
      <w:r w:rsidRPr="00F97CF6">
        <w:t>ях профсоюзных комитетов ППО</w:t>
      </w:r>
      <w:r w:rsidRPr="00F97CF6">
        <w:tab/>
      </w:r>
      <w:r w:rsidR="00E95118" w:rsidRPr="00F97CF6">
        <w:t xml:space="preserve"> ОАО «Н</w:t>
      </w:r>
      <w:r w:rsidR="0001211A" w:rsidRPr="00F97CF6">
        <w:t>ЕФАЗ</w:t>
      </w:r>
      <w:r w:rsidR="00E95118" w:rsidRPr="00F97CF6">
        <w:t>», ОАО «БелЗАН», ОАО «Салаватнефтемаш», ОАО «ТЗАБВ», ОАО «Уралтехнострой-Туй</w:t>
      </w:r>
      <w:r w:rsidR="0001211A" w:rsidRPr="00F97CF6">
        <w:t>м</w:t>
      </w:r>
      <w:r w:rsidR="00E95118" w:rsidRPr="00F97CF6">
        <w:t>азыхиммаш», ООО НПО «Станкостроение»</w:t>
      </w:r>
      <w:r w:rsidR="00DF1E9A" w:rsidRPr="00F97CF6">
        <w:t xml:space="preserve">, </w:t>
      </w:r>
      <w:r w:rsidR="0001211A" w:rsidRPr="00F97CF6">
        <w:t>ООО «СалаватГидравлика».</w:t>
      </w:r>
    </w:p>
    <w:p w:rsidR="00550A2F" w:rsidRPr="00F97CF6" w:rsidRDefault="00550A2F" w:rsidP="0001211A">
      <w:pPr>
        <w:jc w:val="both"/>
      </w:pPr>
      <w:r w:rsidRPr="00F97CF6">
        <w:lastRenderedPageBreak/>
        <w:tab/>
      </w:r>
      <w:r w:rsidR="00267B64" w:rsidRPr="00F97CF6">
        <w:rPr>
          <w:spacing w:val="-1"/>
        </w:rPr>
        <w:t xml:space="preserve">Заработная плата выплачивалась работникам в сроки, установленные коллективными договорами и в полном объеме. </w:t>
      </w:r>
      <w:r w:rsidRPr="00F97CF6">
        <w:t>Задолженность по невыплаченной заработной плате сохраняется в ООО ПК «Автопр</w:t>
      </w:r>
      <w:r w:rsidR="00DB2D06" w:rsidRPr="00F97CF6">
        <w:t>и</w:t>
      </w:r>
      <w:r w:rsidRPr="00F97CF6">
        <w:t xml:space="preserve">бор» в сумме </w:t>
      </w:r>
      <w:r w:rsidR="00E95118" w:rsidRPr="00F97CF6">
        <w:rPr>
          <w:b/>
        </w:rPr>
        <w:t>23</w:t>
      </w:r>
      <w:r w:rsidRPr="00F97CF6">
        <w:rPr>
          <w:b/>
        </w:rPr>
        <w:t xml:space="preserve"> млн. </w:t>
      </w:r>
      <w:r w:rsidR="00E95118" w:rsidRPr="00F97CF6">
        <w:rPr>
          <w:b/>
        </w:rPr>
        <w:t xml:space="preserve">725 </w:t>
      </w:r>
      <w:r w:rsidRPr="00F97CF6">
        <w:rPr>
          <w:b/>
        </w:rPr>
        <w:t>тысяч рублей</w:t>
      </w:r>
      <w:r w:rsidRPr="00F97CF6">
        <w:t xml:space="preserve"> в отношении 385 работ</w:t>
      </w:r>
      <w:r w:rsidR="00E95118" w:rsidRPr="00F97CF6">
        <w:t>ающих и уволенных</w:t>
      </w:r>
      <w:r w:rsidRPr="00F97CF6">
        <w:t xml:space="preserve">, что составляет </w:t>
      </w:r>
      <w:r w:rsidR="00E95118" w:rsidRPr="00F97CF6">
        <w:t xml:space="preserve">более 6 </w:t>
      </w:r>
      <w:r w:rsidRPr="00F97CF6">
        <w:t>месяц</w:t>
      </w:r>
      <w:r w:rsidR="00E95118" w:rsidRPr="00F97CF6">
        <w:t>ев.</w:t>
      </w:r>
      <w:r w:rsidRPr="00F97CF6">
        <w:t xml:space="preserve"> </w:t>
      </w:r>
      <w:r w:rsidR="0001211A" w:rsidRPr="00F97CF6">
        <w:t>Несмотря на то</w:t>
      </w:r>
      <w:r w:rsidR="00CC0265">
        <w:t>,</w:t>
      </w:r>
      <w:r w:rsidR="0001211A" w:rsidRPr="00F97CF6">
        <w:t xml:space="preserve"> что ситуация рассмотрена на заседании Правительства РБ, в Республиканской трехсторонней комиссии,</w:t>
      </w:r>
      <w:r w:rsidR="00CC0265">
        <w:t xml:space="preserve"> </w:t>
      </w:r>
      <w:r w:rsidR="0001211A" w:rsidRPr="00F97CF6">
        <w:t xml:space="preserve">привлечены </w:t>
      </w:r>
      <w:r w:rsidR="00DF1E9A" w:rsidRPr="00F97CF6">
        <w:t>П</w:t>
      </w:r>
      <w:r w:rsidR="0001211A" w:rsidRPr="00F97CF6">
        <w:t>рокуратур</w:t>
      </w:r>
      <w:r w:rsidR="00DF1E9A" w:rsidRPr="00F97CF6">
        <w:t>а</w:t>
      </w:r>
      <w:r w:rsidR="0001211A" w:rsidRPr="00F97CF6">
        <w:t>, ГИТ, СМИ, задолженность по заработной плате не снижается. Составленный график погашения не выполняется.</w:t>
      </w:r>
    </w:p>
    <w:p w:rsidR="00267B64" w:rsidRPr="00F97CF6" w:rsidRDefault="00267B64" w:rsidP="0001211A">
      <w:pPr>
        <w:jc w:val="both"/>
      </w:pPr>
      <w:r w:rsidRPr="00F97CF6">
        <w:tab/>
        <w:t xml:space="preserve">Минимальная заработная плата (тарифная ставка первого разряда) соответствует уровню Республиканского Соглашения только в 2-х предприятиях: </w:t>
      </w:r>
      <w:r w:rsidR="00F97CF6" w:rsidRPr="00F97CF6">
        <w:t>ООО «Геоспейс Технолоджис Евразия» и ФБУ ЦСМ РБ.</w:t>
      </w:r>
    </w:p>
    <w:p w:rsidR="00311EC1" w:rsidRDefault="00F97CF6" w:rsidP="00F97CF6">
      <w:pPr>
        <w:shd w:val="clear" w:color="auto" w:fill="FFFFFF"/>
        <w:jc w:val="both"/>
      </w:pPr>
      <w:r w:rsidRPr="00F97CF6">
        <w:tab/>
        <w:t xml:space="preserve">Тарифная составляющая  в структуре фонда оплаты труда предприятия не менее </w:t>
      </w:r>
      <w:r w:rsidR="00311EC1">
        <w:t>5</w:t>
      </w:r>
      <w:r w:rsidRPr="00F97CF6">
        <w:t xml:space="preserve">0% </w:t>
      </w:r>
      <w:r w:rsidR="00311EC1">
        <w:t xml:space="preserve">(п. 4.5 РОС) </w:t>
      </w:r>
      <w:r w:rsidRPr="00F97CF6">
        <w:t>обеспечена</w:t>
      </w:r>
      <w:r w:rsidR="00311EC1">
        <w:t>:</w:t>
      </w:r>
    </w:p>
    <w:p w:rsidR="00311EC1" w:rsidRDefault="00311EC1" w:rsidP="00F97CF6">
      <w:pPr>
        <w:shd w:val="clear" w:color="auto" w:fill="FFFFFF"/>
        <w:jc w:val="both"/>
      </w:pPr>
      <w:r>
        <w:tab/>
        <w:t>Более 60%:</w:t>
      </w:r>
    </w:p>
    <w:p w:rsidR="00311EC1" w:rsidRDefault="00F97CF6" w:rsidP="00F97CF6">
      <w:pPr>
        <w:shd w:val="clear" w:color="auto" w:fill="FFFFFF"/>
        <w:jc w:val="both"/>
      </w:pPr>
      <w:r w:rsidRPr="00F97CF6">
        <w:t xml:space="preserve"> в ОАО «БелЗАН», ООО «СалаватГидравлика» АО МК «Витязь», ОАО «Уралтехнострой-Туймазыхиммаш», ООО «НефтехиммашМаяк», ООО «Геоспейс Технолоджис Евразия»</w:t>
      </w:r>
      <w:r w:rsidR="00311EC1">
        <w:t>,</w:t>
      </w:r>
      <w:r w:rsidRPr="00F97CF6">
        <w:t xml:space="preserve"> ГУП «БашНИИНефтемаш»</w:t>
      </w:r>
      <w:r w:rsidR="00311EC1">
        <w:t>;</w:t>
      </w:r>
    </w:p>
    <w:p w:rsidR="00311EC1" w:rsidRDefault="00311EC1" w:rsidP="00F97CF6">
      <w:pPr>
        <w:shd w:val="clear" w:color="auto" w:fill="FFFFFF"/>
        <w:jc w:val="both"/>
      </w:pPr>
      <w:r>
        <w:tab/>
        <w:t>от 50до 60%:</w:t>
      </w:r>
    </w:p>
    <w:p w:rsidR="00311EC1" w:rsidRDefault="00311EC1" w:rsidP="00F97CF6">
      <w:pPr>
        <w:shd w:val="clear" w:color="auto" w:fill="FFFFFF"/>
        <w:jc w:val="both"/>
      </w:pPr>
      <w:r>
        <w:t>ОАО «НЕФАЗ», ООО «ПК Автоприбор», ОАО «Салаватнефтемаш», ЗАО «ИНМАН», ОАО «ИВЗ», ОАО «УЗГВ», ФБУ ЦСМ РБ;</w:t>
      </w:r>
    </w:p>
    <w:p w:rsidR="00F97CF6" w:rsidRPr="00F97CF6" w:rsidRDefault="00311EC1" w:rsidP="00F97CF6">
      <w:pPr>
        <w:shd w:val="clear" w:color="auto" w:fill="FFFFFF"/>
        <w:jc w:val="both"/>
      </w:pPr>
      <w:r>
        <w:tab/>
      </w:r>
      <w:r w:rsidR="00F97CF6" w:rsidRPr="00F97CF6">
        <w:t>на  остальных  предприятиях - в диапазоне  от 40 до 5</w:t>
      </w:r>
      <w:r>
        <w:t>0</w:t>
      </w:r>
      <w:r w:rsidR="00F97CF6" w:rsidRPr="00F97CF6">
        <w:t>%.</w:t>
      </w:r>
    </w:p>
    <w:p w:rsidR="00F97CF6" w:rsidRPr="00F97CF6" w:rsidRDefault="00311EC1" w:rsidP="00311EC1">
      <w:pPr>
        <w:jc w:val="both"/>
      </w:pPr>
      <w:r>
        <w:rPr>
          <w:spacing w:val="-1"/>
        </w:rPr>
        <w:tab/>
      </w:r>
      <w:r w:rsidRPr="00F97CF6">
        <w:rPr>
          <w:spacing w:val="-1"/>
        </w:rPr>
        <w:t>Соотношение фондов оплаты труда 10% высокооплачиваемых и 10% низкооплачиваемых категорий работников (п.3.14 РС) на большинстве предприятий находится в диапазоне от 4,5 до 6 раз</w:t>
      </w:r>
      <w:r>
        <w:rPr>
          <w:spacing w:val="-1"/>
        </w:rPr>
        <w:t>.</w:t>
      </w:r>
    </w:p>
    <w:p w:rsidR="00DF1E9A" w:rsidRPr="00F97CF6" w:rsidRDefault="000E1E86" w:rsidP="00311EC1">
      <w:pPr>
        <w:jc w:val="both"/>
      </w:pPr>
      <w:r>
        <w:tab/>
      </w:r>
      <w:r w:rsidR="00DF1E9A" w:rsidRPr="00F97CF6">
        <w:t xml:space="preserve">Президиум республиканского комитета отмечает, что проблема низкого уровня заработной платы продолжает оставаться самой насущной, и в связи с этим, этот вопрос должен быть на постоянном контроле профсоюзных комитетов. Резкий рост величины прожиточного минимума трудоспособного населения до 9549 рублей во втором квартале 2015 года делает в настоящих условиях задачу по доведению средней зарплаты до 4-х кратной величины ПМТР </w:t>
      </w:r>
      <w:r>
        <w:t>трудно</w:t>
      </w:r>
      <w:r w:rsidR="00DF1E9A" w:rsidRPr="00F97CF6">
        <w:t>выполнимой.</w:t>
      </w:r>
    </w:p>
    <w:p w:rsidR="00550A2F" w:rsidRPr="00F97CF6" w:rsidRDefault="00DF1E9A" w:rsidP="00550A2F">
      <w:pPr>
        <w:ind w:firstLine="709"/>
        <w:jc w:val="both"/>
      </w:pPr>
      <w:r w:rsidRPr="00F97CF6">
        <w:t xml:space="preserve">Не смотря на это, </w:t>
      </w:r>
      <w:r w:rsidR="00550A2F" w:rsidRPr="00F97CF6">
        <w:t xml:space="preserve">основной задачей всех выборных профсоюзных органов </w:t>
      </w:r>
      <w:r w:rsidRPr="00F97CF6">
        <w:t>должна оставаться з</w:t>
      </w:r>
      <w:r w:rsidR="00550A2F" w:rsidRPr="00F97CF6">
        <w:t xml:space="preserve">адача обеспечения контроля уровня заработной платы, своевременной ее индексации, не допущения задержек выплаты заработной платы. На решение этих </w:t>
      </w:r>
      <w:r w:rsidRPr="00F97CF6">
        <w:t>вопросов</w:t>
      </w:r>
      <w:r w:rsidR="00550A2F" w:rsidRPr="00F97CF6">
        <w:t xml:space="preserve"> должна быть направлена основная деятельность первичных профсоюзных организаций, их профсоюзных комитетов и республиканского комитета профсоюза.</w:t>
      </w:r>
    </w:p>
    <w:p w:rsidR="00F00029" w:rsidRPr="00F97CF6" w:rsidRDefault="00465F83" w:rsidP="00F00029">
      <w:pPr>
        <w:ind w:firstLine="709"/>
        <w:jc w:val="both"/>
      </w:pPr>
      <w:r w:rsidRPr="00F97CF6">
        <w:t>По предложению профсоюзной стороны вопрос о выполнении работодателями Постановления Правительства Республики Башкортостан от 11 декабря 2014г. № 570</w:t>
      </w:r>
      <w:r w:rsidR="00DF1E9A" w:rsidRPr="00F97CF6">
        <w:t xml:space="preserve"> включен в план работы </w:t>
      </w:r>
      <w:r w:rsidR="00AB0155" w:rsidRPr="00F97CF6">
        <w:t>Республиканской трехсторонней комиссии по регулированию социально-трудовых отношений в машиностроительной промышленности и будет рассмотрен во 2-м полугодии 2015 года.</w:t>
      </w:r>
    </w:p>
    <w:p w:rsidR="00AB0155" w:rsidRPr="00F97CF6" w:rsidRDefault="00AB0155" w:rsidP="00F00029">
      <w:pPr>
        <w:ind w:firstLine="709"/>
        <w:jc w:val="both"/>
      </w:pPr>
    </w:p>
    <w:p w:rsidR="00AB0155" w:rsidRPr="00F97CF6" w:rsidRDefault="00AB0155" w:rsidP="00AB0155">
      <w:pPr>
        <w:ind w:firstLine="709"/>
        <w:jc w:val="both"/>
        <w:rPr>
          <w:b/>
        </w:rPr>
      </w:pPr>
      <w:r w:rsidRPr="00F97CF6">
        <w:rPr>
          <w:b/>
        </w:rPr>
        <w:t xml:space="preserve">Президиум республиканского комитета </w:t>
      </w:r>
      <w:r w:rsidR="00CC0265">
        <w:rPr>
          <w:b/>
        </w:rPr>
        <w:t>П</w:t>
      </w:r>
      <w:r w:rsidRPr="00F97CF6">
        <w:rPr>
          <w:b/>
        </w:rPr>
        <w:t>рофсоюза машиностроителей Р Б</w:t>
      </w:r>
    </w:p>
    <w:p w:rsidR="00AB0155" w:rsidRPr="00F97CF6" w:rsidRDefault="00AB0155" w:rsidP="00AB0155">
      <w:pPr>
        <w:ind w:firstLine="709"/>
        <w:jc w:val="both"/>
        <w:rPr>
          <w:b/>
        </w:rPr>
      </w:pPr>
    </w:p>
    <w:p w:rsidR="00AB0155" w:rsidRPr="00F97CF6" w:rsidRDefault="00AB0155" w:rsidP="00AB0155">
      <w:pPr>
        <w:ind w:firstLine="709"/>
        <w:jc w:val="center"/>
        <w:rPr>
          <w:b/>
        </w:rPr>
      </w:pPr>
      <w:r w:rsidRPr="00F97CF6">
        <w:rPr>
          <w:b/>
        </w:rPr>
        <w:t>п о с т а н о в л я е т:</w:t>
      </w:r>
    </w:p>
    <w:p w:rsidR="00C8367C" w:rsidRPr="00F97CF6" w:rsidRDefault="00C8367C" w:rsidP="00AB0155">
      <w:pPr>
        <w:ind w:firstLine="709"/>
        <w:jc w:val="center"/>
        <w:rPr>
          <w:b/>
        </w:rPr>
      </w:pPr>
    </w:p>
    <w:p w:rsidR="00550A2F" w:rsidRPr="00F97CF6" w:rsidRDefault="00550A2F" w:rsidP="00550A2F">
      <w:pPr>
        <w:pStyle w:val="a4"/>
        <w:numPr>
          <w:ilvl w:val="0"/>
          <w:numId w:val="8"/>
        </w:numPr>
        <w:ind w:left="0" w:firstLine="851"/>
        <w:jc w:val="both"/>
      </w:pPr>
      <w:r w:rsidRPr="00F97CF6">
        <w:t xml:space="preserve">Информацию председателя </w:t>
      </w:r>
      <w:r w:rsidR="00B901EE">
        <w:t>П</w:t>
      </w:r>
      <w:r w:rsidRPr="00F97CF6">
        <w:t xml:space="preserve">рофсоюза об уровне оплаты труда на предприятиях отрасли за </w:t>
      </w:r>
      <w:r w:rsidR="0052336E">
        <w:rPr>
          <w:lang w:val="en-US"/>
        </w:rPr>
        <w:t>I</w:t>
      </w:r>
      <w:r w:rsidR="0052336E" w:rsidRPr="0052336E">
        <w:t xml:space="preserve"> </w:t>
      </w:r>
      <w:r w:rsidR="0052336E">
        <w:t>полугодие 2015 года</w:t>
      </w:r>
      <w:r w:rsidRPr="00F97CF6">
        <w:t xml:space="preserve"> принять к сведению.</w:t>
      </w:r>
    </w:p>
    <w:p w:rsidR="00550A2F" w:rsidRPr="00F97CF6" w:rsidRDefault="00550A2F" w:rsidP="00550A2F">
      <w:pPr>
        <w:pStyle w:val="a4"/>
        <w:numPr>
          <w:ilvl w:val="0"/>
          <w:numId w:val="8"/>
        </w:numPr>
        <w:ind w:left="0" w:firstLine="851"/>
        <w:jc w:val="both"/>
      </w:pPr>
      <w:r w:rsidRPr="00F97CF6">
        <w:t>Председателям ППО данное постановление рассмотреть на заседании профсоюзного комитета.</w:t>
      </w:r>
    </w:p>
    <w:p w:rsidR="00550A2F" w:rsidRPr="00F97CF6" w:rsidRDefault="00550A2F" w:rsidP="00550A2F">
      <w:pPr>
        <w:pStyle w:val="a4"/>
        <w:numPr>
          <w:ilvl w:val="0"/>
          <w:numId w:val="8"/>
        </w:numPr>
        <w:ind w:left="0" w:firstLine="851"/>
        <w:jc w:val="both"/>
      </w:pPr>
      <w:r w:rsidRPr="00F97CF6">
        <w:t>Профсоюзным комитетам первичных профсоюзных организаций:</w:t>
      </w:r>
    </w:p>
    <w:p w:rsidR="00550A2F" w:rsidRPr="00F97CF6" w:rsidRDefault="00550A2F" w:rsidP="00550A2F">
      <w:pPr>
        <w:jc w:val="both"/>
      </w:pPr>
      <w:r w:rsidRPr="00F97CF6">
        <w:t xml:space="preserve"> - </w:t>
      </w:r>
      <w:r w:rsidR="00AB0155" w:rsidRPr="00F97CF6">
        <w:t>Добиваться от работо</w:t>
      </w:r>
      <w:r w:rsidR="00C8367C" w:rsidRPr="00F97CF6">
        <w:t xml:space="preserve">дателей </w:t>
      </w:r>
      <w:r w:rsidRPr="00F97CF6">
        <w:t>выполнени</w:t>
      </w:r>
      <w:r w:rsidR="00C8367C" w:rsidRPr="00F97CF6">
        <w:t>я</w:t>
      </w:r>
      <w:r w:rsidRPr="00F97CF6">
        <w:t xml:space="preserve"> Постановления Правительства Республики Башкортостан №570 от 11 декабря 2014 года «О повышении оплаты труда в основных отраслях экономики и социальной сфере Республики Башкортостан» и «Плана мероприятий по повышению уровня заработной платы работников организаций Республики Башкортостан на 2014 -2017 годы».</w:t>
      </w:r>
    </w:p>
    <w:p w:rsidR="00550A2F" w:rsidRPr="00F97CF6" w:rsidRDefault="00550A2F" w:rsidP="00550A2F">
      <w:pPr>
        <w:jc w:val="both"/>
      </w:pPr>
      <w:r w:rsidRPr="00F97CF6">
        <w:lastRenderedPageBreak/>
        <w:t xml:space="preserve"> - Не реже двух раз в год на своих заседаниях рассматривать вопрос об уровне заработной платы и выполнении раздела коллективного договора «Оплата труда».</w:t>
      </w:r>
    </w:p>
    <w:p w:rsidR="00550A2F" w:rsidRPr="00F97CF6" w:rsidRDefault="00550A2F" w:rsidP="00550A2F">
      <w:pPr>
        <w:jc w:val="both"/>
      </w:pPr>
      <w:r w:rsidRPr="00F97CF6">
        <w:t xml:space="preserve"> - В ходе </w:t>
      </w:r>
      <w:r w:rsidR="00C8367C" w:rsidRPr="00F97CF6">
        <w:t xml:space="preserve">предстоящей </w:t>
      </w:r>
      <w:r w:rsidRPr="00F97CF6">
        <w:t>коллективн</w:t>
      </w:r>
      <w:r w:rsidR="00C8367C" w:rsidRPr="00F97CF6">
        <w:t xml:space="preserve">о-договорной кампании </w:t>
      </w:r>
      <w:r w:rsidRPr="00F97CF6">
        <w:t>добиться включения в коллективны</w:t>
      </w:r>
      <w:r w:rsidR="00C8367C" w:rsidRPr="00F97CF6">
        <w:t xml:space="preserve">е </w:t>
      </w:r>
      <w:r w:rsidRPr="00F97CF6">
        <w:t>договор</w:t>
      </w:r>
      <w:r w:rsidR="00C8367C" w:rsidRPr="00F97CF6">
        <w:t>ы</w:t>
      </w:r>
      <w:r w:rsidRPr="00F97CF6">
        <w:t xml:space="preserve"> обязательных пунктов Республиканского Соглашения об индексации заработной платы и о размере заработной платы не ниже величины прожиточного минимума трудоспособного населения.</w:t>
      </w:r>
    </w:p>
    <w:p w:rsidR="00550A2F" w:rsidRPr="00F97CF6" w:rsidRDefault="00AB0155" w:rsidP="00550A2F">
      <w:pPr>
        <w:jc w:val="both"/>
      </w:pPr>
      <w:r w:rsidRPr="00F97CF6">
        <w:tab/>
        <w:t>4.</w:t>
      </w:r>
      <w:r w:rsidRPr="00F97CF6">
        <w:tab/>
      </w:r>
      <w:r w:rsidR="00550A2F" w:rsidRPr="00F97CF6">
        <w:t>Республиканскому комитету профсоюза:</w:t>
      </w:r>
    </w:p>
    <w:p w:rsidR="00550A2F" w:rsidRPr="00F97CF6" w:rsidRDefault="00550A2F" w:rsidP="00550A2F">
      <w:pPr>
        <w:pStyle w:val="a4"/>
        <w:ind w:left="0"/>
        <w:jc w:val="both"/>
      </w:pPr>
      <w:r w:rsidRPr="00F97CF6">
        <w:t xml:space="preserve"> - Осуществлять еженедельный мониторинг уровня заработной платы работников отрасли.</w:t>
      </w:r>
    </w:p>
    <w:p w:rsidR="00550A2F" w:rsidRPr="00F97CF6" w:rsidRDefault="00550A2F" w:rsidP="00550A2F">
      <w:pPr>
        <w:pStyle w:val="a4"/>
        <w:ind w:left="0"/>
        <w:jc w:val="both"/>
      </w:pPr>
      <w:r w:rsidRPr="00F97CF6">
        <w:t xml:space="preserve"> - На основе предоставленной ППО информации </w:t>
      </w:r>
      <w:r w:rsidR="00AB0155" w:rsidRPr="00F97CF6">
        <w:t xml:space="preserve">регулярно </w:t>
      </w:r>
      <w:r w:rsidRPr="00F97CF6">
        <w:t>информировать производственный отдел ФП РБ о ходе выполнения работодателями предприятий отрасли Постановления Правительства Республики Башкортостан № 570 от 11 декабря 2014 года.</w:t>
      </w:r>
    </w:p>
    <w:p w:rsidR="00C8367C" w:rsidRPr="00F97CF6" w:rsidRDefault="00AB0155" w:rsidP="00C8367C">
      <w:pPr>
        <w:pStyle w:val="a4"/>
        <w:ind w:left="0"/>
        <w:jc w:val="both"/>
      </w:pPr>
      <w:r w:rsidRPr="00F97CF6">
        <w:tab/>
        <w:t>5.</w:t>
      </w:r>
      <w:r w:rsidRPr="00F97CF6">
        <w:tab/>
        <w:t>Рассмотреть</w:t>
      </w:r>
      <w:r w:rsidR="00550A2F" w:rsidRPr="00F97CF6">
        <w:t xml:space="preserve"> вопрос </w:t>
      </w:r>
      <w:r w:rsidRPr="00F97CF6">
        <w:t xml:space="preserve">повышения уровня </w:t>
      </w:r>
      <w:r w:rsidR="00550A2F" w:rsidRPr="00F97CF6">
        <w:t xml:space="preserve">оплаты </w:t>
      </w:r>
      <w:r w:rsidRPr="00F97CF6">
        <w:t xml:space="preserve">труда в машиностроении </w:t>
      </w:r>
      <w:r w:rsidR="00550A2F" w:rsidRPr="00F97CF6">
        <w:t>в Республиканской Отраслевой Комиссии по регулирован</w:t>
      </w:r>
      <w:r w:rsidRPr="00F97CF6">
        <w:t>ию социально-трудовых отношений.</w:t>
      </w:r>
    </w:p>
    <w:p w:rsidR="00C8367C" w:rsidRPr="00F97CF6" w:rsidRDefault="00C8367C" w:rsidP="00C8367C">
      <w:pPr>
        <w:pStyle w:val="a4"/>
        <w:ind w:left="0"/>
        <w:jc w:val="both"/>
      </w:pPr>
      <w:r w:rsidRPr="00F97CF6">
        <w:tab/>
        <w:t>6.</w:t>
      </w:r>
      <w:r w:rsidRPr="00F97CF6">
        <w:tab/>
        <w:t>Снять с контроля постановления президиума рескома профсоюза от 8 февраля 2011 года и 11 февраля 2015 года.</w:t>
      </w:r>
    </w:p>
    <w:p w:rsidR="00550A2F" w:rsidRPr="00F97CF6" w:rsidRDefault="00C8367C" w:rsidP="00C8367C">
      <w:pPr>
        <w:pStyle w:val="a4"/>
        <w:ind w:left="0"/>
        <w:jc w:val="both"/>
      </w:pPr>
      <w:r w:rsidRPr="00F97CF6">
        <w:tab/>
        <w:t>7.</w:t>
      </w:r>
      <w:r w:rsidRPr="00F97CF6">
        <w:tab/>
      </w:r>
      <w:r w:rsidR="00550A2F" w:rsidRPr="00F97CF6">
        <w:t xml:space="preserve">Контроль исполнения данного постановления возложить на председателя </w:t>
      </w:r>
      <w:r w:rsidR="00B901EE">
        <w:t>П</w:t>
      </w:r>
      <w:r w:rsidR="00550A2F" w:rsidRPr="00F97CF6">
        <w:t>рофсоюза Л.</w:t>
      </w:r>
      <w:r w:rsidRPr="00F97CF6">
        <w:t xml:space="preserve">И. </w:t>
      </w:r>
      <w:r w:rsidR="00550A2F" w:rsidRPr="00F97CF6">
        <w:t>Тянутову.</w:t>
      </w:r>
    </w:p>
    <w:p w:rsidR="00267B64" w:rsidRPr="00F97CF6" w:rsidRDefault="00267B64" w:rsidP="00C8367C">
      <w:pPr>
        <w:pStyle w:val="a4"/>
        <w:ind w:left="0"/>
        <w:jc w:val="both"/>
      </w:pPr>
    </w:p>
    <w:p w:rsidR="00B901EE" w:rsidRDefault="00B901EE" w:rsidP="00C8367C">
      <w:pPr>
        <w:ind w:firstLine="708"/>
        <w:jc w:val="both"/>
      </w:pPr>
    </w:p>
    <w:p w:rsidR="00C8367C" w:rsidRPr="00F97CF6" w:rsidRDefault="00C8367C" w:rsidP="00C8367C">
      <w:pPr>
        <w:ind w:firstLine="708"/>
        <w:jc w:val="both"/>
      </w:pPr>
      <w:r w:rsidRPr="00F97CF6">
        <w:t xml:space="preserve">Председатель </w:t>
      </w:r>
      <w:r w:rsidR="00B901EE">
        <w:t>П</w:t>
      </w:r>
      <w:r w:rsidRPr="00F97CF6">
        <w:t>рофсоюза                                                        Л.И. Тянутова</w:t>
      </w:r>
    </w:p>
    <w:sectPr w:rsidR="00C8367C" w:rsidRPr="00F97CF6" w:rsidSect="00311EC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1A" w:rsidRDefault="0044581A" w:rsidP="00CF4C8F">
      <w:r>
        <w:separator/>
      </w:r>
    </w:p>
  </w:endnote>
  <w:endnote w:type="continuationSeparator" w:id="0">
    <w:p w:rsidR="0044581A" w:rsidRDefault="0044581A" w:rsidP="00C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1A" w:rsidRDefault="0044581A" w:rsidP="00CF4C8F">
      <w:r>
        <w:separator/>
      </w:r>
    </w:p>
  </w:footnote>
  <w:footnote w:type="continuationSeparator" w:id="0">
    <w:p w:rsidR="0044581A" w:rsidRDefault="0044581A" w:rsidP="00CF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2287"/>
    </w:sdtPr>
    <w:sdtContent>
      <w:p w:rsidR="00DF1E9A" w:rsidRDefault="008F5237">
        <w:pPr>
          <w:pStyle w:val="a7"/>
          <w:jc w:val="center"/>
        </w:pPr>
        <w:fldSimple w:instr=" PAGE   \* MERGEFORMAT ">
          <w:r w:rsidR="0052336E">
            <w:rPr>
              <w:noProof/>
            </w:rPr>
            <w:t>3</w:t>
          </w:r>
        </w:fldSimple>
      </w:p>
    </w:sdtContent>
  </w:sdt>
  <w:p w:rsidR="00DF1E9A" w:rsidRDefault="00DF1E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E4"/>
    <w:multiLevelType w:val="hybridMultilevel"/>
    <w:tmpl w:val="80C6C8D0"/>
    <w:lvl w:ilvl="0" w:tplc="87DA3EC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23FBB"/>
    <w:multiLevelType w:val="hybridMultilevel"/>
    <w:tmpl w:val="1C544A64"/>
    <w:lvl w:ilvl="0" w:tplc="79F04EAC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92A09D66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FD02DB0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59C41814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608CA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7724FF7A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B99C1E7A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89F2A9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8FCA1EC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89C57B4"/>
    <w:multiLevelType w:val="hybridMultilevel"/>
    <w:tmpl w:val="7FAAFFE2"/>
    <w:lvl w:ilvl="0" w:tplc="7BCE2862">
      <w:start w:val="1"/>
      <w:numFmt w:val="decimal"/>
      <w:lvlText w:val="%1."/>
      <w:lvlJc w:val="left"/>
      <w:pPr>
        <w:ind w:left="135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D376C0"/>
    <w:multiLevelType w:val="hybridMultilevel"/>
    <w:tmpl w:val="86C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1EAE"/>
    <w:multiLevelType w:val="hybridMultilevel"/>
    <w:tmpl w:val="3D0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1A6D"/>
    <w:multiLevelType w:val="hybridMultilevel"/>
    <w:tmpl w:val="BE1A95E8"/>
    <w:lvl w:ilvl="0" w:tplc="F4783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C3207"/>
    <w:multiLevelType w:val="hybridMultilevel"/>
    <w:tmpl w:val="F8963C40"/>
    <w:lvl w:ilvl="0" w:tplc="EE90D4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659A032B"/>
    <w:multiLevelType w:val="hybridMultilevel"/>
    <w:tmpl w:val="929E2B30"/>
    <w:lvl w:ilvl="0" w:tplc="77CA27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3C6859"/>
    <w:multiLevelType w:val="hybridMultilevel"/>
    <w:tmpl w:val="C2E2FC6E"/>
    <w:lvl w:ilvl="0" w:tplc="F38E5A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3AC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4C4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C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A5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C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A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43823"/>
    <w:multiLevelType w:val="hybridMultilevel"/>
    <w:tmpl w:val="AEAEF0AE"/>
    <w:lvl w:ilvl="0" w:tplc="934A01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4A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8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ED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8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A4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66561C"/>
    <w:multiLevelType w:val="hybridMultilevel"/>
    <w:tmpl w:val="3D0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16"/>
    <w:rsid w:val="00001D18"/>
    <w:rsid w:val="0000280D"/>
    <w:rsid w:val="0001211A"/>
    <w:rsid w:val="00061038"/>
    <w:rsid w:val="00061188"/>
    <w:rsid w:val="00076AE9"/>
    <w:rsid w:val="0007736C"/>
    <w:rsid w:val="0009157E"/>
    <w:rsid w:val="0009544E"/>
    <w:rsid w:val="000B3036"/>
    <w:rsid w:val="000C22B4"/>
    <w:rsid w:val="000C2E86"/>
    <w:rsid w:val="000E1E86"/>
    <w:rsid w:val="000F0C09"/>
    <w:rsid w:val="001066DA"/>
    <w:rsid w:val="001400D9"/>
    <w:rsid w:val="00140DAD"/>
    <w:rsid w:val="0014213E"/>
    <w:rsid w:val="00146484"/>
    <w:rsid w:val="001651D6"/>
    <w:rsid w:val="0017187E"/>
    <w:rsid w:val="00177A9B"/>
    <w:rsid w:val="0019645F"/>
    <w:rsid w:val="001A7056"/>
    <w:rsid w:val="001B1777"/>
    <w:rsid w:val="001D7B97"/>
    <w:rsid w:val="0020261F"/>
    <w:rsid w:val="00204913"/>
    <w:rsid w:val="00215003"/>
    <w:rsid w:val="00267B64"/>
    <w:rsid w:val="0027778B"/>
    <w:rsid w:val="00282D7B"/>
    <w:rsid w:val="00293738"/>
    <w:rsid w:val="002A2953"/>
    <w:rsid w:val="002B02F2"/>
    <w:rsid w:val="002D27E5"/>
    <w:rsid w:val="002F39AB"/>
    <w:rsid w:val="003004AB"/>
    <w:rsid w:val="00301DBE"/>
    <w:rsid w:val="00310CA6"/>
    <w:rsid w:val="00311EC1"/>
    <w:rsid w:val="0031295F"/>
    <w:rsid w:val="00313D77"/>
    <w:rsid w:val="0031545A"/>
    <w:rsid w:val="003316C8"/>
    <w:rsid w:val="0033173C"/>
    <w:rsid w:val="00332B2D"/>
    <w:rsid w:val="00336F1E"/>
    <w:rsid w:val="00337969"/>
    <w:rsid w:val="00363C11"/>
    <w:rsid w:val="0037246A"/>
    <w:rsid w:val="00372916"/>
    <w:rsid w:val="003769D2"/>
    <w:rsid w:val="003806F8"/>
    <w:rsid w:val="0038494A"/>
    <w:rsid w:val="0038790C"/>
    <w:rsid w:val="003C4776"/>
    <w:rsid w:val="003E1798"/>
    <w:rsid w:val="003F35C3"/>
    <w:rsid w:val="003F755F"/>
    <w:rsid w:val="0043389E"/>
    <w:rsid w:val="0044581A"/>
    <w:rsid w:val="00451B95"/>
    <w:rsid w:val="004548EB"/>
    <w:rsid w:val="00455FD3"/>
    <w:rsid w:val="00465F83"/>
    <w:rsid w:val="004678FE"/>
    <w:rsid w:val="004704DE"/>
    <w:rsid w:val="00472C15"/>
    <w:rsid w:val="00490C74"/>
    <w:rsid w:val="00496029"/>
    <w:rsid w:val="004A00E7"/>
    <w:rsid w:val="004A514C"/>
    <w:rsid w:val="004B56D2"/>
    <w:rsid w:val="004C17C3"/>
    <w:rsid w:val="004C537F"/>
    <w:rsid w:val="004E55F9"/>
    <w:rsid w:val="004F1575"/>
    <w:rsid w:val="004F2B88"/>
    <w:rsid w:val="00501DF6"/>
    <w:rsid w:val="00511CE1"/>
    <w:rsid w:val="0052336E"/>
    <w:rsid w:val="0052356A"/>
    <w:rsid w:val="00532AED"/>
    <w:rsid w:val="00534A9E"/>
    <w:rsid w:val="0054167D"/>
    <w:rsid w:val="00550A2F"/>
    <w:rsid w:val="00550B34"/>
    <w:rsid w:val="0055168C"/>
    <w:rsid w:val="00566D7E"/>
    <w:rsid w:val="00576641"/>
    <w:rsid w:val="0058228D"/>
    <w:rsid w:val="00582B61"/>
    <w:rsid w:val="005969D4"/>
    <w:rsid w:val="005B0A3F"/>
    <w:rsid w:val="005C1F6D"/>
    <w:rsid w:val="005C4D3C"/>
    <w:rsid w:val="005F0212"/>
    <w:rsid w:val="006005E9"/>
    <w:rsid w:val="006138D8"/>
    <w:rsid w:val="00616D86"/>
    <w:rsid w:val="00680847"/>
    <w:rsid w:val="00690E04"/>
    <w:rsid w:val="0069651E"/>
    <w:rsid w:val="006B2692"/>
    <w:rsid w:val="006C156C"/>
    <w:rsid w:val="006C1F00"/>
    <w:rsid w:val="006D1BC4"/>
    <w:rsid w:val="006E6529"/>
    <w:rsid w:val="0071473F"/>
    <w:rsid w:val="00732F37"/>
    <w:rsid w:val="00733A75"/>
    <w:rsid w:val="00733B02"/>
    <w:rsid w:val="00736CA6"/>
    <w:rsid w:val="00737659"/>
    <w:rsid w:val="00741AD2"/>
    <w:rsid w:val="007461F8"/>
    <w:rsid w:val="007617D6"/>
    <w:rsid w:val="0076185B"/>
    <w:rsid w:val="00766440"/>
    <w:rsid w:val="0076732F"/>
    <w:rsid w:val="007708C7"/>
    <w:rsid w:val="00773552"/>
    <w:rsid w:val="00793E86"/>
    <w:rsid w:val="00797BC8"/>
    <w:rsid w:val="00797F5C"/>
    <w:rsid w:val="007B46E5"/>
    <w:rsid w:val="007E1EA2"/>
    <w:rsid w:val="008053D9"/>
    <w:rsid w:val="0080582F"/>
    <w:rsid w:val="008126A5"/>
    <w:rsid w:val="008173DB"/>
    <w:rsid w:val="008261E3"/>
    <w:rsid w:val="008343B3"/>
    <w:rsid w:val="0084038B"/>
    <w:rsid w:val="00852DEE"/>
    <w:rsid w:val="0086647D"/>
    <w:rsid w:val="00871067"/>
    <w:rsid w:val="008717C2"/>
    <w:rsid w:val="00893A19"/>
    <w:rsid w:val="008B4C21"/>
    <w:rsid w:val="008D3A1C"/>
    <w:rsid w:val="008D5B1C"/>
    <w:rsid w:val="008E398C"/>
    <w:rsid w:val="008F0748"/>
    <w:rsid w:val="008F5237"/>
    <w:rsid w:val="009004C4"/>
    <w:rsid w:val="00902C09"/>
    <w:rsid w:val="00910871"/>
    <w:rsid w:val="009164A8"/>
    <w:rsid w:val="009224CC"/>
    <w:rsid w:val="00932416"/>
    <w:rsid w:val="00940BCD"/>
    <w:rsid w:val="00947B36"/>
    <w:rsid w:val="00950F37"/>
    <w:rsid w:val="00955100"/>
    <w:rsid w:val="009738A7"/>
    <w:rsid w:val="00985E6C"/>
    <w:rsid w:val="00987263"/>
    <w:rsid w:val="00992277"/>
    <w:rsid w:val="009956B6"/>
    <w:rsid w:val="009C04CD"/>
    <w:rsid w:val="009C174E"/>
    <w:rsid w:val="009C3AB3"/>
    <w:rsid w:val="009E1D44"/>
    <w:rsid w:val="009E2D0D"/>
    <w:rsid w:val="009F1199"/>
    <w:rsid w:val="009F7A87"/>
    <w:rsid w:val="00A11E73"/>
    <w:rsid w:val="00A12CCA"/>
    <w:rsid w:val="00A35235"/>
    <w:rsid w:val="00A35497"/>
    <w:rsid w:val="00A4558E"/>
    <w:rsid w:val="00A465CE"/>
    <w:rsid w:val="00A55FAD"/>
    <w:rsid w:val="00A5665B"/>
    <w:rsid w:val="00A634D3"/>
    <w:rsid w:val="00A636F0"/>
    <w:rsid w:val="00A744E6"/>
    <w:rsid w:val="00A80FF3"/>
    <w:rsid w:val="00AA5ACF"/>
    <w:rsid w:val="00AB0155"/>
    <w:rsid w:val="00AD0C54"/>
    <w:rsid w:val="00AD23BC"/>
    <w:rsid w:val="00AD3C53"/>
    <w:rsid w:val="00AE65CF"/>
    <w:rsid w:val="00B14648"/>
    <w:rsid w:val="00B30757"/>
    <w:rsid w:val="00B67C94"/>
    <w:rsid w:val="00B706B0"/>
    <w:rsid w:val="00B8545A"/>
    <w:rsid w:val="00B8638A"/>
    <w:rsid w:val="00B901EE"/>
    <w:rsid w:val="00BA3F4B"/>
    <w:rsid w:val="00BD6D0E"/>
    <w:rsid w:val="00BF4474"/>
    <w:rsid w:val="00C00432"/>
    <w:rsid w:val="00C3229F"/>
    <w:rsid w:val="00C35F8E"/>
    <w:rsid w:val="00C467AE"/>
    <w:rsid w:val="00C50247"/>
    <w:rsid w:val="00C60745"/>
    <w:rsid w:val="00C8367C"/>
    <w:rsid w:val="00C84598"/>
    <w:rsid w:val="00C8548C"/>
    <w:rsid w:val="00CB49CC"/>
    <w:rsid w:val="00CB647D"/>
    <w:rsid w:val="00CC0265"/>
    <w:rsid w:val="00CC78E5"/>
    <w:rsid w:val="00CF2085"/>
    <w:rsid w:val="00CF4C8F"/>
    <w:rsid w:val="00D12A74"/>
    <w:rsid w:val="00D20390"/>
    <w:rsid w:val="00D22888"/>
    <w:rsid w:val="00D22C2A"/>
    <w:rsid w:val="00D559B4"/>
    <w:rsid w:val="00D55EF7"/>
    <w:rsid w:val="00D604EE"/>
    <w:rsid w:val="00D63175"/>
    <w:rsid w:val="00D641F4"/>
    <w:rsid w:val="00D74C67"/>
    <w:rsid w:val="00D80F23"/>
    <w:rsid w:val="00D81231"/>
    <w:rsid w:val="00D8334B"/>
    <w:rsid w:val="00DA55F7"/>
    <w:rsid w:val="00DB2D06"/>
    <w:rsid w:val="00DB4A1E"/>
    <w:rsid w:val="00DE280D"/>
    <w:rsid w:val="00DF1AED"/>
    <w:rsid w:val="00DF1E9A"/>
    <w:rsid w:val="00DF5E6B"/>
    <w:rsid w:val="00E0585E"/>
    <w:rsid w:val="00E23D25"/>
    <w:rsid w:val="00E24B8B"/>
    <w:rsid w:val="00E30892"/>
    <w:rsid w:val="00E672D7"/>
    <w:rsid w:val="00E85C12"/>
    <w:rsid w:val="00E91C8E"/>
    <w:rsid w:val="00E9452A"/>
    <w:rsid w:val="00E95118"/>
    <w:rsid w:val="00E957B4"/>
    <w:rsid w:val="00ED27CF"/>
    <w:rsid w:val="00EE2BE1"/>
    <w:rsid w:val="00F00029"/>
    <w:rsid w:val="00F020CC"/>
    <w:rsid w:val="00F150C1"/>
    <w:rsid w:val="00F23860"/>
    <w:rsid w:val="00F43A5D"/>
    <w:rsid w:val="00F56A42"/>
    <w:rsid w:val="00F81348"/>
    <w:rsid w:val="00F97CF6"/>
    <w:rsid w:val="00FA161A"/>
    <w:rsid w:val="00FA46EE"/>
    <w:rsid w:val="00FA4F54"/>
    <w:rsid w:val="00FB0031"/>
    <w:rsid w:val="00FC0462"/>
    <w:rsid w:val="00FC2EC8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52"/>
    <w:rPr>
      <w:sz w:val="24"/>
      <w:szCs w:val="24"/>
    </w:rPr>
  </w:style>
  <w:style w:type="paragraph" w:styleId="1">
    <w:name w:val="heading 1"/>
    <w:basedOn w:val="a"/>
    <w:next w:val="a"/>
    <w:qFormat/>
    <w:rsid w:val="007735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73552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552"/>
    <w:pPr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F4474"/>
    <w:pPr>
      <w:ind w:left="720"/>
      <w:contextualSpacing/>
    </w:pPr>
  </w:style>
  <w:style w:type="paragraph" w:styleId="a5">
    <w:name w:val="Balloon Text"/>
    <w:basedOn w:val="a"/>
    <w:link w:val="a6"/>
    <w:rsid w:val="0027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7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F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C8F"/>
    <w:rPr>
      <w:sz w:val="24"/>
      <w:szCs w:val="24"/>
    </w:rPr>
  </w:style>
  <w:style w:type="paragraph" w:styleId="a9">
    <w:name w:val="footer"/>
    <w:basedOn w:val="a"/>
    <w:link w:val="aa"/>
    <w:rsid w:val="00CF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4C8F"/>
    <w:rPr>
      <w:sz w:val="24"/>
      <w:szCs w:val="24"/>
    </w:rPr>
  </w:style>
  <w:style w:type="paragraph" w:styleId="ab">
    <w:name w:val="Body Text Indent"/>
    <w:basedOn w:val="a"/>
    <w:link w:val="ac"/>
    <w:rsid w:val="00267B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67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autoTitleDeleted val="1"/>
    <c:plotArea>
      <c:layout>
        <c:manualLayout>
          <c:layoutTarget val="inner"/>
          <c:xMode val="edge"/>
          <c:yMode val="edge"/>
          <c:x val="9.1087102484282714E-2"/>
          <c:y val="3.5756907198194451E-2"/>
          <c:w val="0.8579715907604577"/>
          <c:h val="0.822102780630681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з/п по отрасли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cat>
            <c:strRef>
              <c:f>Лист1!$A$2:$A$9</c:f>
              <c:strCach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6 мес. 2015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13380</c:v>
                </c:pt>
                <c:pt idx="1">
                  <c:v>7890</c:v>
                </c:pt>
                <c:pt idx="2">
                  <c:v>14128</c:v>
                </c:pt>
                <c:pt idx="3">
                  <c:v>14464</c:v>
                </c:pt>
                <c:pt idx="4">
                  <c:v>15173</c:v>
                </c:pt>
                <c:pt idx="5">
                  <c:v>20593</c:v>
                </c:pt>
                <c:pt idx="6">
                  <c:v>23024</c:v>
                </c:pt>
                <c:pt idx="7">
                  <c:v>22600</c:v>
                </c:pt>
              </c:numCache>
            </c:numRef>
          </c:val>
        </c:ser>
        <c:dLbls>
          <c:showVal val="1"/>
        </c:dLbls>
        <c:gapWidth val="75"/>
        <c:axId val="59347328"/>
        <c:axId val="59350016"/>
      </c:barChart>
      <c:catAx>
        <c:axId val="59347328"/>
        <c:scaling>
          <c:orientation val="minMax"/>
        </c:scaling>
        <c:axPos val="b"/>
        <c:numFmt formatCode="General" sourceLinked="1"/>
        <c:majorTickMark val="none"/>
        <c:tickLblPos val="nextTo"/>
        <c:crossAx val="59350016"/>
        <c:crosses val="autoZero"/>
        <c:auto val="1"/>
        <c:lblAlgn val="ctr"/>
        <c:lblOffset val="100"/>
      </c:catAx>
      <c:valAx>
        <c:axId val="59350016"/>
        <c:scaling>
          <c:orientation val="minMax"/>
        </c:scaling>
        <c:axPos val="l"/>
        <c:numFmt formatCode="General" sourceLinked="1"/>
        <c:majorTickMark val="none"/>
        <c:tickLblPos val="nextTo"/>
        <c:crossAx val="59347328"/>
        <c:crosses val="autoZero"/>
        <c:crossBetween val="between"/>
      </c:valAx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3917-33D7-4FAD-ADD2-AFA8FC01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1</cp:lastModifiedBy>
  <cp:revision>10</cp:revision>
  <cp:lastPrinted>2015-02-13T05:05:00Z</cp:lastPrinted>
  <dcterms:created xsi:type="dcterms:W3CDTF">2015-09-17T07:22:00Z</dcterms:created>
  <dcterms:modified xsi:type="dcterms:W3CDTF">2015-09-17T07:26:00Z</dcterms:modified>
</cp:coreProperties>
</file>