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D16C63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370D2D" w:rsidRDefault="00370D2D" w:rsidP="00370D2D">
      <w:pPr>
        <w:pStyle w:val="1"/>
        <w:rPr>
          <w:rFonts w:ascii="Arial" w:hAnsi="Arial"/>
        </w:rPr>
      </w:pPr>
      <w:r>
        <w:rPr>
          <w:rFonts w:ascii="Arial" w:hAnsi="Arial"/>
          <w:lang w:val="en-US"/>
        </w:rPr>
        <w:t>II</w:t>
      </w:r>
      <w:r w:rsidRPr="004E4B62">
        <w:rPr>
          <w:rFonts w:ascii="Arial" w:hAnsi="Arial"/>
        </w:rPr>
        <w:t xml:space="preserve"> </w:t>
      </w:r>
      <w:r>
        <w:rPr>
          <w:rFonts w:ascii="Arial" w:hAnsi="Arial"/>
        </w:rPr>
        <w:t>П Л Е Н У М</w:t>
      </w:r>
    </w:p>
    <w:p w:rsidR="00370D2D" w:rsidRDefault="00370D2D" w:rsidP="00370D2D">
      <w:pPr>
        <w:jc w:val="center"/>
      </w:pPr>
    </w:p>
    <w:p w:rsidR="00370D2D" w:rsidRDefault="00370D2D" w:rsidP="00370D2D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370D2D" w:rsidRPr="00DD5915" w:rsidRDefault="00370D2D" w:rsidP="00370D2D"/>
    <w:p w:rsidR="00370D2D" w:rsidRPr="00DD5915" w:rsidRDefault="00370D2D" w:rsidP="00DD5915">
      <w:r w:rsidRPr="00DD5915">
        <w:t>г. Туймазы</w:t>
      </w:r>
      <w:r w:rsidRPr="00DD5915">
        <w:tab/>
      </w:r>
      <w:r w:rsidRPr="00DD5915">
        <w:tab/>
      </w:r>
      <w:r w:rsidRPr="00DD5915">
        <w:tab/>
      </w:r>
      <w:r w:rsidRPr="00DD5915">
        <w:tab/>
      </w:r>
      <w:r w:rsidRPr="00DD5915">
        <w:tab/>
      </w:r>
      <w:r w:rsidRPr="00DD5915">
        <w:tab/>
      </w:r>
      <w:r w:rsidRPr="00DD5915">
        <w:tab/>
      </w:r>
      <w:r w:rsidRPr="00DD5915">
        <w:tab/>
      </w:r>
      <w:r w:rsidRPr="00DD5915">
        <w:tab/>
        <w:t>23 марта 2015года</w:t>
      </w:r>
    </w:p>
    <w:p w:rsidR="004A00E7" w:rsidRPr="00DD5915" w:rsidRDefault="004A00E7" w:rsidP="00DD5915">
      <w:pPr>
        <w:jc w:val="both"/>
      </w:pPr>
    </w:p>
    <w:p w:rsidR="00811726" w:rsidRPr="00DD5915" w:rsidRDefault="004A00E7" w:rsidP="00DD5915">
      <w:pPr>
        <w:jc w:val="both"/>
      </w:pPr>
      <w:r w:rsidRPr="00DD5915">
        <w:t>«</w:t>
      </w:r>
      <w:r w:rsidR="00811726" w:rsidRPr="00DD5915">
        <w:t xml:space="preserve">О </w:t>
      </w:r>
      <w:r w:rsidR="00370D2D" w:rsidRPr="00DD5915">
        <w:t>развитии социального партнерства</w:t>
      </w:r>
    </w:p>
    <w:p w:rsidR="00CB76C6" w:rsidRPr="00DD5915" w:rsidRDefault="00811726" w:rsidP="00DD5915">
      <w:pPr>
        <w:jc w:val="both"/>
      </w:pPr>
      <w:r w:rsidRPr="00DD5915">
        <w:t>ОАО «</w:t>
      </w:r>
      <w:r w:rsidR="00CB76C6" w:rsidRPr="00DD5915">
        <w:t>У</w:t>
      </w:r>
      <w:r w:rsidR="00370D2D" w:rsidRPr="00DD5915">
        <w:t>ралтехнострой</w:t>
      </w:r>
      <w:r w:rsidR="00CB76C6" w:rsidRPr="00DD5915">
        <w:t>-Туймазыхиммаш</w:t>
      </w:r>
      <w:r w:rsidRPr="00DD5915">
        <w:t>»</w:t>
      </w:r>
    </w:p>
    <w:p w:rsidR="00811726" w:rsidRPr="00DD5915" w:rsidRDefault="00811726" w:rsidP="00DD5915">
      <w:pPr>
        <w:jc w:val="both"/>
      </w:pPr>
    </w:p>
    <w:p w:rsidR="00811726" w:rsidRPr="00DD5915" w:rsidRDefault="00811726" w:rsidP="00090891">
      <w:pPr>
        <w:ind w:firstLine="708"/>
        <w:jc w:val="both"/>
      </w:pPr>
      <w:r w:rsidRPr="00DD5915">
        <w:t xml:space="preserve">Заслушав и обсудив информацию </w:t>
      </w:r>
      <w:r w:rsidR="00370D2D" w:rsidRPr="00DD5915">
        <w:t xml:space="preserve">Генерального директора </w:t>
      </w:r>
      <w:r w:rsidRPr="00DD5915">
        <w:t>ОАО «</w:t>
      </w:r>
      <w:r w:rsidR="00843F8A" w:rsidRPr="00DD5915">
        <w:t>Уралтехнострой-Туймазыхиммаш</w:t>
      </w:r>
      <w:r w:rsidRPr="00DD5915">
        <w:t xml:space="preserve">» </w:t>
      </w:r>
      <w:r w:rsidR="00370D2D" w:rsidRPr="00DD5915">
        <w:t xml:space="preserve">А.А. Абдрашитова и председателя первичной профсоюзной организации В.Г. </w:t>
      </w:r>
      <w:r w:rsidR="00843F8A" w:rsidRPr="00DD5915">
        <w:t>Полева</w:t>
      </w:r>
      <w:r w:rsidR="00C96CB7" w:rsidRPr="00DD5915">
        <w:t>,</w:t>
      </w:r>
      <w:r w:rsidRPr="00DD5915">
        <w:t xml:space="preserve"> </w:t>
      </w:r>
      <w:r w:rsidR="00D617C8" w:rsidRPr="00DD5915">
        <w:t xml:space="preserve">а также посетив предприятие, </w:t>
      </w:r>
      <w:r w:rsidRPr="00DD5915">
        <w:t xml:space="preserve"> республиканск</w:t>
      </w:r>
      <w:r w:rsidR="00582795">
        <w:t>ий</w:t>
      </w:r>
      <w:r w:rsidRPr="00DD5915">
        <w:t xml:space="preserve"> комитет отмечает, </w:t>
      </w:r>
      <w:r w:rsidR="00370D2D" w:rsidRPr="00DD5915">
        <w:t>что сторонами социального партнерства на предприятии проводится планомерная эффективная работа по достижению взаимовыгодных целей развития производственного потенциала предприятия, созданию достойных условий труда, решению социальных вопросов коллектива.</w:t>
      </w:r>
    </w:p>
    <w:p w:rsidR="00F5060D" w:rsidRPr="00DD5915" w:rsidRDefault="00E04CB7" w:rsidP="00090891">
      <w:pPr>
        <w:ind w:firstLine="708"/>
        <w:jc w:val="both"/>
      </w:pPr>
      <w:r w:rsidRPr="00DD5915">
        <w:t>По состоянию на 1 февраля 2015 года ППО ОАО «Уралтехнострой-Туймазыхиммаш» насчитывает 1010 членов профсоюза, что составляет 89,1% от общего числа работающих в 7 цеховых профсоюзных организациях.</w:t>
      </w:r>
      <w:r w:rsidR="00F5060D" w:rsidRPr="00DD5915">
        <w:t xml:space="preserve"> В октябре 2014 года на отчетно-выборной конференции был избран Совет председателей из 10 человек, наделенный функциями профсоюзного комитета. В Совет вошли председатели цеховых организаций профсоюза, председатель Совета молодежи и два представителя Профсоюза машиностроителей РБ. Профкомом сформировано 5 комиссий: комиссия по труду и заработной плате, комиссия по охране труда, организационно-массовая комиссия, комиссия по работе с молодежью, женсовет.</w:t>
      </w:r>
    </w:p>
    <w:p w:rsidR="00F5060D" w:rsidRPr="00DD5915" w:rsidRDefault="00F5060D" w:rsidP="00090891">
      <w:pPr>
        <w:ind w:firstLine="708"/>
        <w:jc w:val="both"/>
      </w:pPr>
      <w:r w:rsidRPr="00DD5915">
        <w:t xml:space="preserve">Профком обеспечен всеми нормативными документами профсоюза, </w:t>
      </w:r>
      <w:r w:rsidR="00090891">
        <w:t>а</w:t>
      </w:r>
      <w:r w:rsidRPr="00DD5915">
        <w:t xml:space="preserve"> цеховые организации газетами «Действие», «Солидарность», информационными материалами рескома профсоюза. В профкоме оформлен и регулярно наполняется актуальной информацией информационный стенд</w:t>
      </w:r>
      <w:r w:rsidR="00FD075B" w:rsidRPr="00DD5915">
        <w:t>, работа предприятия и ППО освещается на страницах корпоративной газеты «Мануфактура».</w:t>
      </w:r>
    </w:p>
    <w:p w:rsidR="00FD075B" w:rsidRPr="00DD5915" w:rsidRDefault="00FD075B" w:rsidP="00090891">
      <w:pPr>
        <w:ind w:firstLine="708"/>
        <w:jc w:val="both"/>
      </w:pPr>
      <w:r w:rsidRPr="00DD5915">
        <w:t>Коллективный договор ОАО «Уралтехнострой-Туймазыхиммаш» на 2014-2016 годы заключен 28 февраля 2014 года и подписан от имени работников председателем профсоюза машиностроителей РБ.</w:t>
      </w:r>
    </w:p>
    <w:p w:rsidR="00FD075B" w:rsidRPr="00DD5915" w:rsidRDefault="00FD075B" w:rsidP="00090891">
      <w:pPr>
        <w:ind w:firstLine="708"/>
        <w:jc w:val="both"/>
      </w:pPr>
      <w:r w:rsidRPr="00DD5915">
        <w:t>Коллективный дого</w:t>
      </w:r>
      <w:r w:rsidR="00090891">
        <w:t>вор разработан на основе макета</w:t>
      </w:r>
      <w:r w:rsidRPr="00DD5915">
        <w:t>, предложенного республиканским комитетом</w:t>
      </w:r>
      <w:r w:rsidR="00920539">
        <w:t>,</w:t>
      </w:r>
      <w:r w:rsidRPr="00DD5915">
        <w:t xml:space="preserve"> и содержит все основные обязательные пункты Республиканского соглашения. В коллективном договоре закреплена обязанность работодателя обеспечить минимальную заработную плату не ниже величины прожиточного минимума</w:t>
      </w:r>
      <w:r w:rsidR="004402C4" w:rsidRPr="00DD5915">
        <w:t xml:space="preserve"> и </w:t>
      </w:r>
      <w:r w:rsidRPr="00DD5915">
        <w:t>долю тарифной части не менее 50%. Работодатель применяет рекомендуемые тарифные ставки согласно Приложени</w:t>
      </w:r>
      <w:r w:rsidR="00920539">
        <w:t>ю</w:t>
      </w:r>
      <w:r w:rsidRPr="00DD5915">
        <w:t xml:space="preserve"> №3 к </w:t>
      </w:r>
      <w:r w:rsidR="004402C4" w:rsidRPr="00DD5915">
        <w:t>Р</w:t>
      </w:r>
      <w:r w:rsidRPr="00DD5915">
        <w:t>еспубликанскому соглашению</w:t>
      </w:r>
      <w:r w:rsidR="004402C4" w:rsidRPr="00DD5915">
        <w:t xml:space="preserve">, а также предусматривает годовую индексацию заработной платы с учетом роста потребительских цен на товары и услуги при разработке и утверждении бизнес-плана. Коллективный договор содержит наполненный раздел по Охране труда и экологической безопасности. В соответствии с разделом «Социальные гарантии» работникам </w:t>
      </w:r>
      <w:r w:rsidR="002163B1" w:rsidRPr="00DD5915">
        <w:t xml:space="preserve">выплачивается единовременное поощрение при достижении пенсионного возраста в зависимости от стажа работы на предприятии, к 50-летию, материальная помощь при вступлении в брак, в случае рождения ребенка, родителям первоклассников, а </w:t>
      </w:r>
      <w:r w:rsidR="002163B1" w:rsidRPr="00DD5915">
        <w:lastRenderedPageBreak/>
        <w:t xml:space="preserve">также в других случаях. Основным рабочим основных производственных цехов предоставляется 50-%ная компенсация стоимости горячего питания в столовой. Всего социальный раздел коллективного договора содержит </w:t>
      </w:r>
      <w:r w:rsidR="00745DF8" w:rsidRPr="00DD5915">
        <w:t>33 обязательства работодателя и профсоюзного комитета. На основании коллективного договора на предприятии ведется работа по поддержке молодых работников, соблюдаются права и гарантии профсоюзной организации, своевременно и в полном объеме перечисляются членские профсоюзные взносы.</w:t>
      </w:r>
    </w:p>
    <w:p w:rsidR="00811726" w:rsidRPr="00DD5915" w:rsidRDefault="00FD075B" w:rsidP="00090891">
      <w:pPr>
        <w:ind w:firstLine="708"/>
        <w:jc w:val="both"/>
      </w:pPr>
      <w:r w:rsidRPr="00DD5915">
        <w:t>27 февраля состоялась конференция работников по итогам выполнения кол</w:t>
      </w:r>
      <w:r w:rsidR="00745DF8" w:rsidRPr="00DD5915">
        <w:t xml:space="preserve">лективного договора за 2014 год, на которой были заслушаны отчеты руководителей по направлениям деятельности, было </w:t>
      </w:r>
      <w:r w:rsidR="00920539">
        <w:t>признано,</w:t>
      </w:r>
      <w:r w:rsidR="00745DF8" w:rsidRPr="00DD5915">
        <w:t xml:space="preserve"> что в основном все обязательства коллективного договора </w:t>
      </w:r>
      <w:r w:rsidR="00920539">
        <w:t>выполняются</w:t>
      </w:r>
      <w:r w:rsidR="00745DF8" w:rsidRPr="00DD5915">
        <w:t>.</w:t>
      </w:r>
      <w:r w:rsidR="00540B1C" w:rsidRPr="00DD5915">
        <w:t xml:space="preserve"> Необходимо отметить, что с середины декабря 2014 года в ОАО сложилась неблагоприятная финансово-экономическая ситуация</w:t>
      </w:r>
      <w:r w:rsidR="00BE5A9D" w:rsidRPr="00DD5915">
        <w:t xml:space="preserve">. Задержка потребителями оплаты за отгруженную продукцию, рост кредитных ставок, приостановка выдачи кредитов банками привели к задержке выплаты заработной платы за декабрь 2014г. и январь 2015г. более 15 дней. В феврале на заседании профсоюзного комитета с приглашением заместителя Генерального директора по финансово-экономическим вопросам и начальника экономического отдела обсудили ситуацию с выплатой заработной платы и разделы «Положения по оплате труда». По прогнозам руководства в </w:t>
      </w:r>
      <w:r w:rsidR="00DD5915" w:rsidRPr="00DD5915">
        <w:t xml:space="preserve">марте ситуация </w:t>
      </w:r>
      <w:r w:rsidR="00920539">
        <w:t>должна стабилизироваться</w:t>
      </w:r>
      <w:r w:rsidR="00DD5915" w:rsidRPr="00DD5915">
        <w:t xml:space="preserve">. </w:t>
      </w:r>
      <w:r w:rsidR="00370D2D" w:rsidRPr="00DD5915">
        <w:t xml:space="preserve">Администрация и профсоюзный комитет </w:t>
      </w:r>
      <w:r w:rsidR="005C517E" w:rsidRPr="00DD5915">
        <w:t>провод</w:t>
      </w:r>
      <w:r w:rsidR="00370D2D" w:rsidRPr="00DD5915">
        <w:t>я</w:t>
      </w:r>
      <w:r w:rsidR="005C517E" w:rsidRPr="00DD5915">
        <w:t>т большую работу по информированию коллектива о состоянии дел на предприятии</w:t>
      </w:r>
      <w:r w:rsidR="00920539">
        <w:t>.</w:t>
      </w:r>
      <w:r w:rsidR="005C517E" w:rsidRPr="00DD5915">
        <w:t xml:space="preserve"> </w:t>
      </w:r>
      <w:r w:rsidR="00920539">
        <w:t>В соответствии с</w:t>
      </w:r>
      <w:r w:rsidR="00AB6652" w:rsidRPr="00DD5915">
        <w:t xml:space="preserve"> план</w:t>
      </w:r>
      <w:r w:rsidR="00920539">
        <w:t>ом</w:t>
      </w:r>
      <w:r w:rsidR="00AB6652" w:rsidRPr="00DD5915">
        <w:t xml:space="preserve"> работы на заседании профкома регулярно рассматриваются вопросы о контроле за выполнением коллективного договора, об уровне оплаты труда, о состоянии охраны труда, о соблюдении трудового законодательства и другие вопросы, затрагивающие социально</w:t>
      </w:r>
      <w:r w:rsidR="00D617C8" w:rsidRPr="00DD5915">
        <w:t>-</w:t>
      </w:r>
      <w:r w:rsidR="00AB6652" w:rsidRPr="00DD5915">
        <w:t xml:space="preserve">экономические проблемы жизни коллектива. </w:t>
      </w:r>
      <w:r w:rsidR="00671117" w:rsidRPr="00DD5915">
        <w:t>Профсоюзный комитет доводит до сведения руководства предпр</w:t>
      </w:r>
      <w:r w:rsidR="00D617C8" w:rsidRPr="00DD5915">
        <w:t>иятия принятые решения профкома, ч</w:t>
      </w:r>
      <w:r w:rsidR="00671117" w:rsidRPr="00DD5915">
        <w:t>то в свою очередь, позволяет своевременно их реализовать.</w:t>
      </w:r>
      <w:r w:rsidR="00972A5B" w:rsidRPr="00DD5915">
        <w:t xml:space="preserve"> </w:t>
      </w:r>
      <w:r w:rsidR="00AB6652" w:rsidRPr="00DD5915">
        <w:t>Администрация и п</w:t>
      </w:r>
      <w:r w:rsidR="00972A5B" w:rsidRPr="00DD5915">
        <w:t xml:space="preserve">рофсоюзный комитет </w:t>
      </w:r>
      <w:r w:rsidR="00AB6652" w:rsidRPr="00DD5915">
        <w:t xml:space="preserve">проводят большую работу по </w:t>
      </w:r>
      <w:r w:rsidR="00972A5B" w:rsidRPr="00DD5915">
        <w:t>создани</w:t>
      </w:r>
      <w:r w:rsidR="00AB6652" w:rsidRPr="00DD5915">
        <w:t>ю</w:t>
      </w:r>
      <w:r w:rsidR="00972A5B" w:rsidRPr="00DD5915">
        <w:t xml:space="preserve"> на предприятии безопасных условий труда, своевременно </w:t>
      </w:r>
      <w:r w:rsidR="00AB6652" w:rsidRPr="00DD5915">
        <w:t>решают</w:t>
      </w:r>
      <w:r w:rsidR="00972A5B" w:rsidRPr="00DD5915">
        <w:t xml:space="preserve"> вопросы, связанные с компенсацией работникам за работу во вредных и опасных условиях труда, в том числе по обеспечению работников средствами </w:t>
      </w:r>
      <w:r w:rsidR="00D617C8" w:rsidRPr="00DD5915">
        <w:t>индивидуальной защиты.</w:t>
      </w:r>
    </w:p>
    <w:p w:rsidR="00321E77" w:rsidRPr="00DD5915" w:rsidRDefault="00A035A2" w:rsidP="00090891">
      <w:pPr>
        <w:ind w:firstLine="708"/>
        <w:jc w:val="both"/>
      </w:pPr>
      <w:r w:rsidRPr="00DD5915">
        <w:t>На балансе предприятия содержатся объекты соцкультбыта: база отдыха на оз. Кандры-</w:t>
      </w:r>
      <w:r w:rsidR="00F006C8" w:rsidRPr="00DD5915">
        <w:t xml:space="preserve">Куль, </w:t>
      </w:r>
      <w:r w:rsidR="008E1756" w:rsidRPr="00DD5915">
        <w:t>горнолыжная</w:t>
      </w:r>
      <w:r w:rsidR="000341A0" w:rsidRPr="00DD5915">
        <w:t xml:space="preserve"> база</w:t>
      </w:r>
      <w:r w:rsidRPr="00DD5915">
        <w:t>. Работники завода принимают активное участие в проводимых в городе культмассовых и спортивных мероприятиях.</w:t>
      </w:r>
      <w:r w:rsidR="000341A0" w:rsidRPr="00DD5915">
        <w:t xml:space="preserve"> Дирекция акционерного общества активно сотрудничает с профсоюзом машиностроителей республики. На базе ОАО</w:t>
      </w:r>
      <w:r w:rsidRPr="00DD5915">
        <w:t xml:space="preserve"> </w:t>
      </w:r>
      <w:r w:rsidR="00D617C8" w:rsidRPr="00DD5915">
        <w:t xml:space="preserve">профсоюзом машиностроителей </w:t>
      </w:r>
      <w:r w:rsidRPr="00DD5915">
        <w:t xml:space="preserve">неоднократно проводились республиканские </w:t>
      </w:r>
      <w:r w:rsidR="00AB6652" w:rsidRPr="00DD5915">
        <w:t>мероприятия</w:t>
      </w:r>
      <w:r w:rsidR="00D617C8" w:rsidRPr="00DD5915">
        <w:t>.</w:t>
      </w:r>
    </w:p>
    <w:p w:rsidR="00D617C8" w:rsidRPr="00DD5915" w:rsidRDefault="00D617C8" w:rsidP="00DD5915">
      <w:pPr>
        <w:jc w:val="both"/>
      </w:pPr>
    </w:p>
    <w:p w:rsidR="005B73C2" w:rsidRPr="00DD5915" w:rsidRDefault="00D617C8" w:rsidP="00DD5915">
      <w:pPr>
        <w:jc w:val="center"/>
        <w:rPr>
          <w:b/>
        </w:rPr>
      </w:pPr>
      <w:r w:rsidRPr="00DD5915">
        <w:rPr>
          <w:b/>
        </w:rPr>
        <w:t>Р</w:t>
      </w:r>
      <w:r w:rsidR="005B73C2" w:rsidRPr="00DD5915">
        <w:rPr>
          <w:b/>
        </w:rPr>
        <w:t>еспубликанс</w:t>
      </w:r>
      <w:r w:rsidRPr="00DD5915">
        <w:rPr>
          <w:b/>
        </w:rPr>
        <w:t>кий</w:t>
      </w:r>
      <w:r w:rsidR="005B73C2" w:rsidRPr="00DD5915">
        <w:rPr>
          <w:b/>
        </w:rPr>
        <w:t xml:space="preserve"> комитет профсоюза машиностроителей РБ</w:t>
      </w:r>
    </w:p>
    <w:p w:rsidR="005B73C2" w:rsidRPr="00DD5915" w:rsidRDefault="00D617C8" w:rsidP="00DD5915">
      <w:pPr>
        <w:jc w:val="center"/>
        <w:rPr>
          <w:b/>
        </w:rPr>
      </w:pPr>
      <w:r w:rsidRPr="00DD5915">
        <w:rPr>
          <w:b/>
        </w:rPr>
        <w:t>п о с т а н о в л я е т</w:t>
      </w:r>
      <w:r w:rsidR="005B73C2" w:rsidRPr="00DD5915">
        <w:rPr>
          <w:b/>
        </w:rPr>
        <w:t>:</w:t>
      </w:r>
    </w:p>
    <w:p w:rsidR="00DD5915" w:rsidRPr="00DD5915" w:rsidRDefault="00DD5915" w:rsidP="00DD5915">
      <w:pPr>
        <w:jc w:val="center"/>
        <w:rPr>
          <w:b/>
        </w:rPr>
      </w:pPr>
    </w:p>
    <w:p w:rsidR="005B73C2" w:rsidRPr="00DD5915" w:rsidRDefault="005B73C2" w:rsidP="00DD5915">
      <w:pPr>
        <w:numPr>
          <w:ilvl w:val="0"/>
          <w:numId w:val="5"/>
        </w:numPr>
        <w:ind w:left="0" w:firstLine="0"/>
        <w:jc w:val="both"/>
      </w:pPr>
      <w:r w:rsidRPr="00DD5915">
        <w:t xml:space="preserve">Информацию </w:t>
      </w:r>
      <w:r w:rsidR="00D62FFE" w:rsidRPr="00DD5915">
        <w:t>Генерального директора ОАО «Уралтехнострой-Туймазыхиммаш» А.А. Абдрашитова и председателя первичной профсоюзной организации В.Г. Полева принять к сведению</w:t>
      </w:r>
    </w:p>
    <w:p w:rsidR="00D62FFE" w:rsidRPr="00DD5915" w:rsidRDefault="00D62FFE" w:rsidP="00DD5915">
      <w:pPr>
        <w:numPr>
          <w:ilvl w:val="0"/>
          <w:numId w:val="5"/>
        </w:numPr>
        <w:ind w:left="0" w:firstLine="0"/>
        <w:jc w:val="both"/>
      </w:pPr>
      <w:r w:rsidRPr="00DD5915">
        <w:t>Отметить планомерную эффективную работу, проводимую сторонами социального партнерства</w:t>
      </w:r>
      <w:r w:rsidR="00DD5915" w:rsidRPr="00DD5915">
        <w:t xml:space="preserve"> ОАО «Уралтехнострой-Туймазыхиммаш»</w:t>
      </w:r>
      <w:r w:rsidRPr="00DD5915">
        <w:t xml:space="preserve"> по достижению взаимовыгодных целей развития производственного потенциала предприятия, созданию достойных условий труда, решению социальных вопросов коллектива</w:t>
      </w:r>
      <w:r w:rsidR="00DD5915">
        <w:t>.</w:t>
      </w:r>
    </w:p>
    <w:p w:rsidR="005B73C2" w:rsidRPr="00DD5915" w:rsidRDefault="00DD5915" w:rsidP="00DD5915">
      <w:pPr>
        <w:numPr>
          <w:ilvl w:val="0"/>
          <w:numId w:val="5"/>
        </w:numPr>
        <w:ind w:left="0" w:firstLine="0"/>
        <w:jc w:val="both"/>
      </w:pPr>
      <w:r w:rsidRPr="00DD5915">
        <w:t>Председателям ППО использовать в своей работе положительный опыт, наработанный профкомом ОАО «Уралтехнострой-Туймазыхиммаш» по заключению коллективного договора и контролю его выполнения.</w:t>
      </w:r>
    </w:p>
    <w:p w:rsidR="00D16C63" w:rsidRPr="00DD5915" w:rsidRDefault="00D16C63" w:rsidP="00DD5915">
      <w:pPr>
        <w:jc w:val="both"/>
      </w:pPr>
    </w:p>
    <w:p w:rsidR="00D16C63" w:rsidRPr="00DD5915" w:rsidRDefault="00D16C63" w:rsidP="00090891">
      <w:pPr>
        <w:ind w:firstLine="708"/>
        <w:jc w:val="both"/>
      </w:pPr>
      <w:r w:rsidRPr="00DD5915">
        <w:t xml:space="preserve">Председатель профсоюза                                                </w:t>
      </w:r>
      <w:r w:rsidR="00DD5915" w:rsidRPr="00DD5915">
        <w:t>Л. Тянутова</w:t>
      </w:r>
    </w:p>
    <w:sectPr w:rsidR="00D16C63" w:rsidRPr="00DD5915" w:rsidSect="00B501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D0" w:rsidRDefault="00595AD0" w:rsidP="00D41B83">
      <w:r>
        <w:separator/>
      </w:r>
    </w:p>
  </w:endnote>
  <w:endnote w:type="continuationSeparator" w:id="0">
    <w:p w:rsidR="00595AD0" w:rsidRDefault="00595AD0" w:rsidP="00D4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D0" w:rsidRDefault="00595AD0" w:rsidP="00D41B83">
      <w:r>
        <w:separator/>
      </w:r>
    </w:p>
  </w:footnote>
  <w:footnote w:type="continuationSeparator" w:id="0">
    <w:p w:rsidR="00595AD0" w:rsidRDefault="00595AD0" w:rsidP="00D41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5553"/>
    </w:sdtPr>
    <w:sdtContent>
      <w:p w:rsidR="00AB6652" w:rsidRDefault="005215D4">
        <w:pPr>
          <w:pStyle w:val="a6"/>
          <w:jc w:val="center"/>
        </w:pPr>
        <w:fldSimple w:instr=" PAGE   \* MERGEFORMAT ">
          <w:r w:rsidR="00582795">
            <w:rPr>
              <w:noProof/>
            </w:rPr>
            <w:t>1</w:t>
          </w:r>
        </w:fldSimple>
      </w:p>
    </w:sdtContent>
  </w:sdt>
  <w:p w:rsidR="00AB6652" w:rsidRDefault="00AB66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AF8"/>
    <w:multiLevelType w:val="hybridMultilevel"/>
    <w:tmpl w:val="A518FF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4E6CFB26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17123FBB"/>
    <w:multiLevelType w:val="hybridMultilevel"/>
    <w:tmpl w:val="1C544A64"/>
    <w:lvl w:ilvl="0" w:tplc="BE4AB3AE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BE7050DA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FBC1980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9E467C3C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9B9AEB84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C86C6108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CC8472F2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21F2A4A8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438E2B4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693C6859"/>
    <w:multiLevelType w:val="hybridMultilevel"/>
    <w:tmpl w:val="C2E2FC6E"/>
    <w:lvl w:ilvl="0" w:tplc="4810E8F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E14CC4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32B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CC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4D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05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AE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D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8B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43823"/>
    <w:multiLevelType w:val="hybridMultilevel"/>
    <w:tmpl w:val="AEAEF0AE"/>
    <w:lvl w:ilvl="0" w:tplc="DB1C6E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F70F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68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4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AD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44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21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47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88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7632F"/>
    <w:multiLevelType w:val="hybridMultilevel"/>
    <w:tmpl w:val="49C8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33998"/>
    <w:rsid w:val="000341A0"/>
    <w:rsid w:val="0006058F"/>
    <w:rsid w:val="00073F24"/>
    <w:rsid w:val="00090891"/>
    <w:rsid w:val="001A6484"/>
    <w:rsid w:val="001D71A3"/>
    <w:rsid w:val="001E492E"/>
    <w:rsid w:val="002163B1"/>
    <w:rsid w:val="00220B0F"/>
    <w:rsid w:val="002B7BEE"/>
    <w:rsid w:val="002C32C4"/>
    <w:rsid w:val="002D621D"/>
    <w:rsid w:val="00321E77"/>
    <w:rsid w:val="00326472"/>
    <w:rsid w:val="0035482F"/>
    <w:rsid w:val="00370D2D"/>
    <w:rsid w:val="00372916"/>
    <w:rsid w:val="00373FAF"/>
    <w:rsid w:val="003F2DBB"/>
    <w:rsid w:val="00411180"/>
    <w:rsid w:val="00425E01"/>
    <w:rsid w:val="004402C4"/>
    <w:rsid w:val="004548EB"/>
    <w:rsid w:val="00484AC2"/>
    <w:rsid w:val="004869AB"/>
    <w:rsid w:val="00497329"/>
    <w:rsid w:val="004A00E7"/>
    <w:rsid w:val="004D04A0"/>
    <w:rsid w:val="004D2DD7"/>
    <w:rsid w:val="004E7862"/>
    <w:rsid w:val="004F34F0"/>
    <w:rsid w:val="005215D4"/>
    <w:rsid w:val="005265CC"/>
    <w:rsid w:val="00540B1C"/>
    <w:rsid w:val="00553B2F"/>
    <w:rsid w:val="00582795"/>
    <w:rsid w:val="00595AD0"/>
    <w:rsid w:val="005B73C2"/>
    <w:rsid w:val="005C517E"/>
    <w:rsid w:val="005F2B07"/>
    <w:rsid w:val="00615FBA"/>
    <w:rsid w:val="00641EFB"/>
    <w:rsid w:val="00652BBA"/>
    <w:rsid w:val="00665FA1"/>
    <w:rsid w:val="00671117"/>
    <w:rsid w:val="00673B45"/>
    <w:rsid w:val="00680653"/>
    <w:rsid w:val="0072323D"/>
    <w:rsid w:val="00745DF8"/>
    <w:rsid w:val="00780BC8"/>
    <w:rsid w:val="007852CA"/>
    <w:rsid w:val="00787C0F"/>
    <w:rsid w:val="007A068D"/>
    <w:rsid w:val="007A2467"/>
    <w:rsid w:val="00804CE1"/>
    <w:rsid w:val="00811726"/>
    <w:rsid w:val="008160E9"/>
    <w:rsid w:val="0083453C"/>
    <w:rsid w:val="00843F8A"/>
    <w:rsid w:val="0086133E"/>
    <w:rsid w:val="00867017"/>
    <w:rsid w:val="008A1148"/>
    <w:rsid w:val="008E1756"/>
    <w:rsid w:val="00916200"/>
    <w:rsid w:val="00920539"/>
    <w:rsid w:val="00923540"/>
    <w:rsid w:val="00972A5B"/>
    <w:rsid w:val="0097434B"/>
    <w:rsid w:val="00974D98"/>
    <w:rsid w:val="009913C5"/>
    <w:rsid w:val="009A1CB9"/>
    <w:rsid w:val="009C5C48"/>
    <w:rsid w:val="00A035A2"/>
    <w:rsid w:val="00A16378"/>
    <w:rsid w:val="00A44779"/>
    <w:rsid w:val="00A50E64"/>
    <w:rsid w:val="00AB6652"/>
    <w:rsid w:val="00B50178"/>
    <w:rsid w:val="00BE5A9D"/>
    <w:rsid w:val="00C54C27"/>
    <w:rsid w:val="00C82183"/>
    <w:rsid w:val="00C96CB7"/>
    <w:rsid w:val="00CA34A3"/>
    <w:rsid w:val="00CB76C6"/>
    <w:rsid w:val="00CF5903"/>
    <w:rsid w:val="00D16C63"/>
    <w:rsid w:val="00D20049"/>
    <w:rsid w:val="00D2097C"/>
    <w:rsid w:val="00D22C2A"/>
    <w:rsid w:val="00D237FB"/>
    <w:rsid w:val="00D41B83"/>
    <w:rsid w:val="00D471F1"/>
    <w:rsid w:val="00D617C8"/>
    <w:rsid w:val="00D62FFE"/>
    <w:rsid w:val="00D67F74"/>
    <w:rsid w:val="00DC2543"/>
    <w:rsid w:val="00DD5915"/>
    <w:rsid w:val="00DE280D"/>
    <w:rsid w:val="00E04CB7"/>
    <w:rsid w:val="00EF264A"/>
    <w:rsid w:val="00EF2B22"/>
    <w:rsid w:val="00F006C8"/>
    <w:rsid w:val="00F5060D"/>
    <w:rsid w:val="00FD075B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78"/>
    <w:rPr>
      <w:sz w:val="24"/>
      <w:szCs w:val="24"/>
    </w:rPr>
  </w:style>
  <w:style w:type="paragraph" w:styleId="1">
    <w:name w:val="heading 1"/>
    <w:basedOn w:val="a"/>
    <w:next w:val="a"/>
    <w:qFormat/>
    <w:rsid w:val="00B5017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50178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0178"/>
    <w:pPr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834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45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1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B83"/>
    <w:rPr>
      <w:sz w:val="24"/>
      <w:szCs w:val="24"/>
    </w:rPr>
  </w:style>
  <w:style w:type="paragraph" w:styleId="a8">
    <w:name w:val="footer"/>
    <w:basedOn w:val="a"/>
    <w:link w:val="a9"/>
    <w:rsid w:val="00D41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1B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5</cp:revision>
  <cp:lastPrinted>2013-04-12T06:17:00Z</cp:lastPrinted>
  <dcterms:created xsi:type="dcterms:W3CDTF">2015-03-18T10:38:00Z</dcterms:created>
  <dcterms:modified xsi:type="dcterms:W3CDTF">2015-03-25T05:28:00Z</dcterms:modified>
</cp:coreProperties>
</file>